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28B33" w14:textId="6C95E0FD" w:rsidR="00BD526E" w:rsidRPr="00BD526E" w:rsidRDefault="00BD526E" w:rsidP="00BD526E">
      <w:pPr>
        <w:pStyle w:val="1"/>
        <w:rPr>
          <w:lang w:val="en-US"/>
        </w:rPr>
      </w:pPr>
      <w:r>
        <w:t xml:space="preserve">Scaly-sided Merganser </w:t>
      </w:r>
      <w:r>
        <w:rPr>
          <w:lang w:val="en-US"/>
        </w:rPr>
        <w:t>task force</w:t>
      </w:r>
      <w:r>
        <w:t>. Update to the East Asian – Australasian Flyway Partnership MoP</w:t>
      </w:r>
      <w:r w:rsidR="00CA3CC1">
        <w:rPr>
          <w:lang w:val="en-US"/>
        </w:rPr>
        <w:t>10</w:t>
      </w:r>
    </w:p>
    <w:p w14:paraId="6E92F592" w14:textId="77777777" w:rsidR="00BD526E" w:rsidRDefault="00BD526E" w:rsidP="00BD526E"/>
    <w:p w14:paraId="16E3DE46" w14:textId="58D61834" w:rsidR="00BD526E" w:rsidRDefault="00BD526E" w:rsidP="00BD526E">
      <w:proofErr w:type="spellStart"/>
      <w:r>
        <w:t>Dr.</w:t>
      </w:r>
      <w:proofErr w:type="spellEnd"/>
      <w:r>
        <w:t xml:space="preserve"> Diana </w:t>
      </w:r>
      <w:proofErr w:type="spellStart"/>
      <w:r>
        <w:t>Solovyeva</w:t>
      </w:r>
      <w:proofErr w:type="spellEnd"/>
      <w:r>
        <w:t xml:space="preserve"> &amp; </w:t>
      </w:r>
      <w:proofErr w:type="spellStart"/>
      <w:r>
        <w:t>Dr.</w:t>
      </w:r>
      <w:proofErr w:type="spellEnd"/>
      <w:r>
        <w:t xml:space="preserve"> Baz Hughes, </w:t>
      </w:r>
      <w:r w:rsidR="00B93B5C">
        <w:rPr>
          <w:lang w:val="en-US"/>
        </w:rPr>
        <w:t>01 October</w:t>
      </w:r>
      <w:r>
        <w:t xml:space="preserve"> 201</w:t>
      </w:r>
      <w:r w:rsidR="00CA3CC1">
        <w:t>8</w:t>
      </w:r>
    </w:p>
    <w:p w14:paraId="3ED2DD33" w14:textId="77777777" w:rsidR="00BD526E" w:rsidRDefault="00BD526E" w:rsidP="00BD526E"/>
    <w:p w14:paraId="3A7CC917" w14:textId="77777777" w:rsidR="00BD526E" w:rsidRDefault="00BD526E" w:rsidP="00BD526E">
      <w:pPr>
        <w:pStyle w:val="1"/>
        <w:ind w:left="432" w:hanging="432"/>
      </w:pPr>
      <w:r>
        <w:t>Introduction</w:t>
      </w:r>
    </w:p>
    <w:p w14:paraId="603B4FD8" w14:textId="77D5898F" w:rsidR="00BD526E" w:rsidRDefault="00BD526E" w:rsidP="00BD526E">
      <w:pPr>
        <w:rPr>
          <w:lang w:val="en-US"/>
        </w:rPr>
      </w:pPr>
      <w:r>
        <w:rPr>
          <w:lang w:val="en-US"/>
        </w:rPr>
        <w:t xml:space="preserve">The Scaly-sided Merganser is listed as “Endangered” by IUCN and is listed in the national Red Data Books of Russia, China, and South Korea. Most of the population breeds in the Far East of Russia, and winters in South China, South </w:t>
      </w:r>
      <w:r w:rsidR="00CA3CC1">
        <w:rPr>
          <w:lang w:val="en-US"/>
        </w:rPr>
        <w:t xml:space="preserve">and North </w:t>
      </w:r>
      <w:r>
        <w:rPr>
          <w:lang w:val="en-US"/>
        </w:rPr>
        <w:t>Korea</w:t>
      </w:r>
      <w:r w:rsidR="00CA3CC1">
        <w:rPr>
          <w:lang w:val="en-US"/>
        </w:rPr>
        <w:t>s</w:t>
      </w:r>
      <w:r>
        <w:rPr>
          <w:lang w:val="en-US"/>
        </w:rPr>
        <w:t xml:space="preserve">, and sometimes Taiwan. The reasons for the decline between the 1960s and 1980s included habitat loss due to logging of the flood-plain forests, illegal shooting and by-catch in gill-nets. </w:t>
      </w:r>
      <w:r w:rsidR="00E57664">
        <w:rPr>
          <w:lang w:val="en-US"/>
        </w:rPr>
        <w:t>Since the late 1990s n</w:t>
      </w:r>
      <w:r>
        <w:rPr>
          <w:lang w:val="en-US"/>
        </w:rPr>
        <w:t xml:space="preserve">umbers on the breeding grounds in </w:t>
      </w:r>
      <w:proofErr w:type="spellStart"/>
      <w:r>
        <w:rPr>
          <w:lang w:val="en-US"/>
        </w:rPr>
        <w:t>Primorye</w:t>
      </w:r>
      <w:proofErr w:type="spellEnd"/>
      <w:r>
        <w:rPr>
          <w:lang w:val="en-US"/>
        </w:rPr>
        <w:t xml:space="preserve">, Russia, </w:t>
      </w:r>
      <w:r w:rsidR="00E57664">
        <w:rPr>
          <w:lang w:val="en-US"/>
        </w:rPr>
        <w:t xml:space="preserve">have stabilized </w:t>
      </w:r>
      <w:r w:rsidR="00132F38">
        <w:rPr>
          <w:lang w:val="en-US"/>
        </w:rPr>
        <w:t xml:space="preserve">and </w:t>
      </w:r>
      <w:r w:rsidR="00E57664">
        <w:rPr>
          <w:lang w:val="en-US"/>
        </w:rPr>
        <w:t xml:space="preserve">the </w:t>
      </w:r>
      <w:r w:rsidR="00132F38">
        <w:rPr>
          <w:lang w:val="en-US"/>
        </w:rPr>
        <w:t xml:space="preserve">world population </w:t>
      </w:r>
      <w:r w:rsidR="00E57664">
        <w:rPr>
          <w:lang w:val="en-US"/>
        </w:rPr>
        <w:t xml:space="preserve">in spring </w:t>
      </w:r>
      <w:r w:rsidR="00132F38">
        <w:rPr>
          <w:lang w:val="en-US"/>
        </w:rPr>
        <w:t xml:space="preserve">is </w:t>
      </w:r>
      <w:r w:rsidR="00E57664">
        <w:rPr>
          <w:lang w:val="en-US"/>
        </w:rPr>
        <w:t xml:space="preserve">now </w:t>
      </w:r>
      <w:r w:rsidR="00132F38">
        <w:rPr>
          <w:lang w:val="en-US"/>
        </w:rPr>
        <w:t xml:space="preserve">estimated </w:t>
      </w:r>
      <w:r w:rsidR="00E57664">
        <w:rPr>
          <w:lang w:val="en-US"/>
        </w:rPr>
        <w:t xml:space="preserve">as </w:t>
      </w:r>
      <w:r w:rsidR="00132F38">
        <w:rPr>
          <w:lang w:val="en-US"/>
        </w:rPr>
        <w:t xml:space="preserve">4,600 individuals </w:t>
      </w:r>
      <w:r>
        <w:rPr>
          <w:lang w:val="en-US"/>
        </w:rPr>
        <w:t>(</w:t>
      </w:r>
      <w:proofErr w:type="spellStart"/>
      <w:r>
        <w:rPr>
          <w:lang w:val="en-US"/>
        </w:rPr>
        <w:t>Solovieva</w:t>
      </w:r>
      <w:proofErr w:type="spellEnd"/>
      <w:r>
        <w:rPr>
          <w:lang w:val="en-US"/>
        </w:rPr>
        <w:t xml:space="preserve"> </w:t>
      </w:r>
      <w:r>
        <w:rPr>
          <w:i/>
          <w:lang w:val="en-US"/>
        </w:rPr>
        <w:t>et al.</w:t>
      </w:r>
      <w:r>
        <w:rPr>
          <w:lang w:val="en-US"/>
        </w:rPr>
        <w:t xml:space="preserve"> 20</w:t>
      </w:r>
      <w:r w:rsidR="00132F38">
        <w:rPr>
          <w:lang w:val="en-US"/>
        </w:rPr>
        <w:t>14</w:t>
      </w:r>
      <w:r>
        <w:rPr>
          <w:lang w:val="en-US"/>
        </w:rPr>
        <w:t xml:space="preserve">). </w:t>
      </w:r>
      <w:r w:rsidR="00E57664">
        <w:rPr>
          <w:lang w:val="en-US"/>
        </w:rPr>
        <w:t xml:space="preserve">The </w:t>
      </w:r>
      <w:r>
        <w:rPr>
          <w:lang w:val="en-US"/>
        </w:rPr>
        <w:t>current threats to the population are illegal shooting and by-catch in gill-nets on the breeding grounds and damming of rivers on the wintering grounds.</w:t>
      </w:r>
    </w:p>
    <w:p w14:paraId="5E72FF2A" w14:textId="77777777" w:rsidR="00BD526E" w:rsidRDefault="00BD526E" w:rsidP="00BD526E"/>
    <w:p w14:paraId="7CB3C519" w14:textId="5B7B918B" w:rsidR="00BD526E" w:rsidRDefault="00BD526E" w:rsidP="00BD526E">
      <w:pPr>
        <w:pStyle w:val="1"/>
        <w:rPr>
          <w:lang w:val="en-US"/>
        </w:rPr>
      </w:pPr>
      <w:r>
        <w:rPr>
          <w:lang w:val="en-US"/>
        </w:rPr>
        <w:t>Progress since last MoP</w:t>
      </w:r>
      <w:r w:rsidR="007E74B7">
        <w:rPr>
          <w:lang w:val="en-US"/>
        </w:rPr>
        <w:t>9</w:t>
      </w:r>
    </w:p>
    <w:p w14:paraId="179D3DEE" w14:textId="77777777" w:rsidR="00B533CC" w:rsidRDefault="00B533CC">
      <w:pPr>
        <w:rPr>
          <w:lang w:val="en-US"/>
        </w:rPr>
      </w:pPr>
    </w:p>
    <w:p w14:paraId="065D9208" w14:textId="72CDFAEE" w:rsidR="000D3163" w:rsidRPr="000D3163" w:rsidRDefault="00CA3CC1">
      <w:pPr>
        <w:rPr>
          <w:b/>
          <w:lang w:val="en-US"/>
        </w:rPr>
      </w:pPr>
      <w:r>
        <w:rPr>
          <w:b/>
          <w:lang w:val="en-US"/>
        </w:rPr>
        <w:t>Task Force Meeting and International Symposium</w:t>
      </w:r>
    </w:p>
    <w:p w14:paraId="4EB7E3B8" w14:textId="34BE9EDA" w:rsidR="00A37EF9" w:rsidRPr="00887A23" w:rsidRDefault="00EE279C">
      <w:pPr>
        <w:rPr>
          <w:lang w:val="en-US"/>
        </w:rPr>
      </w:pPr>
      <w:r>
        <w:rPr>
          <w:lang w:val="en-US"/>
        </w:rPr>
        <w:t xml:space="preserve">A </w:t>
      </w:r>
      <w:r w:rsidR="00CA3CC1">
        <w:rPr>
          <w:lang w:val="en-US"/>
        </w:rPr>
        <w:t>Task Force Meeting and Scaly-sided Merganser International Symposium is planned for pre</w:t>
      </w:r>
      <w:r w:rsidR="002F4D2B">
        <w:rPr>
          <w:lang w:val="en-US"/>
        </w:rPr>
        <w:t>-</w:t>
      </w:r>
      <w:r w:rsidR="00CA3CC1">
        <w:rPr>
          <w:lang w:val="en-US"/>
        </w:rPr>
        <w:t xml:space="preserve">MOP10 days on 5-8 of December 2018 in </w:t>
      </w:r>
      <w:r w:rsidR="00CA3CC1" w:rsidRPr="00CA3CC1">
        <w:rPr>
          <w:lang w:val="en-US"/>
        </w:rPr>
        <w:t>Changsha</w:t>
      </w:r>
      <w:r w:rsidR="00CA3CC1">
        <w:rPr>
          <w:lang w:val="en-US"/>
        </w:rPr>
        <w:t>, China.</w:t>
      </w:r>
      <w:r w:rsidR="00BD526E" w:rsidRPr="00BD526E">
        <w:rPr>
          <w:lang w:val="en-US"/>
        </w:rPr>
        <w:t xml:space="preserve"> </w:t>
      </w:r>
      <w:r w:rsidR="00D32779">
        <w:rPr>
          <w:lang w:val="en-US"/>
        </w:rPr>
        <w:t xml:space="preserve">Facilitated by the </w:t>
      </w:r>
      <w:proofErr w:type="spellStart"/>
      <w:r w:rsidR="00CA3CC1">
        <w:rPr>
          <w:lang w:val="en-US"/>
        </w:rPr>
        <w:t>Bejing</w:t>
      </w:r>
      <w:proofErr w:type="spellEnd"/>
      <w:r w:rsidR="00B93B5C" w:rsidRPr="00B93B5C">
        <w:rPr>
          <w:lang w:val="en-US"/>
        </w:rPr>
        <w:t xml:space="preserve"> </w:t>
      </w:r>
      <w:r w:rsidR="00B93B5C">
        <w:rPr>
          <w:lang w:val="en-US"/>
        </w:rPr>
        <w:t>Forestry University</w:t>
      </w:r>
      <w:r w:rsidR="00D32779">
        <w:rPr>
          <w:lang w:val="en-US"/>
        </w:rPr>
        <w:t xml:space="preserve">, </w:t>
      </w:r>
      <w:r w:rsidR="00D32779" w:rsidRPr="00CA3CC1">
        <w:rPr>
          <w:highlight w:val="yellow"/>
          <w:lang w:val="en-US"/>
        </w:rPr>
        <w:t xml:space="preserve">the workshop was </w:t>
      </w:r>
      <w:r w:rsidR="00BD526E" w:rsidRPr="00CA3CC1">
        <w:rPr>
          <w:highlight w:val="yellow"/>
          <w:lang w:val="en-US"/>
        </w:rPr>
        <w:t xml:space="preserve">attended by </w:t>
      </w:r>
      <w:r w:rsidR="00D32779" w:rsidRPr="00CA3CC1">
        <w:rPr>
          <w:highlight w:val="yellow"/>
          <w:lang w:val="en-US"/>
        </w:rPr>
        <w:t xml:space="preserve">a total of ## </w:t>
      </w:r>
      <w:r w:rsidR="00BD526E" w:rsidRPr="00CA3CC1">
        <w:rPr>
          <w:highlight w:val="yellow"/>
          <w:lang w:val="en-US"/>
        </w:rPr>
        <w:t xml:space="preserve">participants </w:t>
      </w:r>
      <w:r w:rsidR="00D32779" w:rsidRPr="00CA3CC1">
        <w:rPr>
          <w:highlight w:val="yellow"/>
          <w:lang w:val="en-US"/>
        </w:rPr>
        <w:t xml:space="preserve">from </w:t>
      </w:r>
      <w:r w:rsidR="00BD526E" w:rsidRPr="00CA3CC1">
        <w:rPr>
          <w:highlight w:val="yellow"/>
          <w:lang w:val="en-US"/>
        </w:rPr>
        <w:t>the Russian Federation, People’s Republic of China, Republic of Korea, the UK</w:t>
      </w:r>
      <w:r w:rsidR="00D32779" w:rsidRPr="00CA3CC1">
        <w:rPr>
          <w:highlight w:val="yellow"/>
          <w:lang w:val="en-US"/>
        </w:rPr>
        <w:t>,</w:t>
      </w:r>
      <w:r w:rsidR="007207B6" w:rsidRPr="00CA3CC1">
        <w:rPr>
          <w:highlight w:val="yellow"/>
          <w:lang w:val="en-US"/>
        </w:rPr>
        <w:t xml:space="preserve"> </w:t>
      </w:r>
      <w:r w:rsidR="007207B6" w:rsidRPr="00CA3CC1">
        <w:rPr>
          <w:highlight w:val="yellow"/>
        </w:rPr>
        <w:t>and the EAAFP Secretariat</w:t>
      </w:r>
      <w:r w:rsidR="00D32779" w:rsidRPr="00CA3CC1">
        <w:rPr>
          <w:highlight w:val="yellow"/>
          <w:lang w:val="en-US"/>
        </w:rPr>
        <w:t xml:space="preserve"> including </w:t>
      </w:r>
      <w:r w:rsidR="00BD526E" w:rsidRPr="00CA3CC1">
        <w:rPr>
          <w:highlight w:val="yellow"/>
          <w:lang w:val="en-US"/>
        </w:rPr>
        <w:t>Task Force</w:t>
      </w:r>
      <w:r w:rsidR="00B533CC" w:rsidRPr="00CA3CC1">
        <w:rPr>
          <w:highlight w:val="yellow"/>
          <w:lang w:val="en-US"/>
        </w:rPr>
        <w:t xml:space="preserve"> members </w:t>
      </w:r>
      <w:r w:rsidR="00D32779" w:rsidRPr="00CA3CC1">
        <w:rPr>
          <w:highlight w:val="yellow"/>
          <w:lang w:val="en-US"/>
        </w:rPr>
        <w:t xml:space="preserve">working on both </w:t>
      </w:r>
      <w:r w:rsidR="000D3163" w:rsidRPr="00CA3CC1">
        <w:rPr>
          <w:i/>
          <w:highlight w:val="yellow"/>
          <w:lang w:val="en-US"/>
        </w:rPr>
        <w:t xml:space="preserve">in </w:t>
      </w:r>
      <w:r w:rsidR="000D3163" w:rsidRPr="00CA3CC1">
        <w:rPr>
          <w:highlight w:val="yellow"/>
          <w:lang w:val="en-US"/>
        </w:rPr>
        <w:t>and</w:t>
      </w:r>
      <w:r w:rsidR="000D3163" w:rsidRPr="00CA3CC1">
        <w:rPr>
          <w:i/>
          <w:highlight w:val="yellow"/>
          <w:lang w:val="en-US"/>
        </w:rPr>
        <w:t xml:space="preserve"> ex situ</w:t>
      </w:r>
      <w:r w:rsidR="00D32779" w:rsidRPr="00CA3CC1">
        <w:rPr>
          <w:i/>
          <w:highlight w:val="yellow"/>
          <w:lang w:val="en-US"/>
        </w:rPr>
        <w:t xml:space="preserve"> </w:t>
      </w:r>
      <w:r w:rsidR="00D32779" w:rsidRPr="00CA3CC1">
        <w:rPr>
          <w:highlight w:val="yellow"/>
          <w:lang w:val="en-US"/>
        </w:rPr>
        <w:t>conservation</w:t>
      </w:r>
      <w:r w:rsidR="00BD526E" w:rsidRPr="00CA3CC1">
        <w:rPr>
          <w:highlight w:val="yellow"/>
          <w:lang w:val="en-US"/>
        </w:rPr>
        <w:t xml:space="preserve">. </w:t>
      </w:r>
      <w:r w:rsidR="00B93B5C">
        <w:rPr>
          <w:lang w:val="en-US"/>
        </w:rPr>
        <w:t xml:space="preserve">The Scaly-sided Merganser International Symposium was attended by 150 participants primarily from China. </w:t>
      </w:r>
      <w:r w:rsidR="00B533CC" w:rsidRPr="00B93B5C">
        <w:rPr>
          <w:lang w:val="en-US"/>
        </w:rPr>
        <w:t xml:space="preserve">The workshop was followed by </w:t>
      </w:r>
      <w:r w:rsidR="00BD526E" w:rsidRPr="00B93B5C">
        <w:rPr>
          <w:lang w:val="en-US"/>
        </w:rPr>
        <w:t xml:space="preserve">a </w:t>
      </w:r>
      <w:r w:rsidR="00B93B5C" w:rsidRPr="00B93B5C">
        <w:rPr>
          <w:lang w:val="en-US"/>
        </w:rPr>
        <w:t>one</w:t>
      </w:r>
      <w:r w:rsidR="00BD526E" w:rsidRPr="00B93B5C">
        <w:rPr>
          <w:lang w:val="en-US"/>
        </w:rPr>
        <w:t xml:space="preserve">-day field excursion </w:t>
      </w:r>
      <w:r w:rsidR="00D32779" w:rsidRPr="00B93B5C">
        <w:rPr>
          <w:lang w:val="en-US"/>
        </w:rPr>
        <w:t xml:space="preserve">to </w:t>
      </w:r>
      <w:r w:rsidR="00BD526E" w:rsidRPr="00B93B5C">
        <w:rPr>
          <w:lang w:val="en-US"/>
        </w:rPr>
        <w:t xml:space="preserve">the </w:t>
      </w:r>
      <w:proofErr w:type="spellStart"/>
      <w:r w:rsidR="00B93B5C" w:rsidRPr="00B93B5C">
        <w:rPr>
          <w:lang w:val="en-US"/>
        </w:rPr>
        <w:t>Yanalushi</w:t>
      </w:r>
      <w:proofErr w:type="spellEnd"/>
      <w:r w:rsidR="00B533CC" w:rsidRPr="00B93B5C">
        <w:rPr>
          <w:lang w:val="en-US"/>
        </w:rPr>
        <w:t xml:space="preserve"> R</w:t>
      </w:r>
      <w:r w:rsidR="00D32779" w:rsidRPr="00B93B5C">
        <w:rPr>
          <w:lang w:val="en-US"/>
        </w:rPr>
        <w:t>iver</w:t>
      </w:r>
      <w:r w:rsidR="00B93B5C">
        <w:rPr>
          <w:lang w:val="en-US"/>
        </w:rPr>
        <w:t>.</w:t>
      </w:r>
      <w:r w:rsidR="00B533CC">
        <w:rPr>
          <w:lang w:val="en-US"/>
        </w:rPr>
        <w:t xml:space="preserve"> </w:t>
      </w:r>
    </w:p>
    <w:p w14:paraId="7FA7E720" w14:textId="77777777" w:rsidR="00887A23" w:rsidRPr="00F754A0" w:rsidRDefault="00887A23">
      <w:pPr>
        <w:rPr>
          <w:lang w:val="en-US"/>
        </w:rPr>
      </w:pPr>
    </w:p>
    <w:p w14:paraId="675ABC4C" w14:textId="77777777" w:rsidR="00887A23" w:rsidRPr="00887A23" w:rsidRDefault="00887A23">
      <w:pPr>
        <w:rPr>
          <w:b/>
          <w:lang w:val="en-US"/>
        </w:rPr>
      </w:pPr>
      <w:r w:rsidRPr="00887A23">
        <w:rPr>
          <w:b/>
          <w:lang w:val="en-US"/>
        </w:rPr>
        <w:t>Action Plan</w:t>
      </w:r>
    </w:p>
    <w:p w14:paraId="1EF68B40" w14:textId="0116601E" w:rsidR="00887A23" w:rsidRPr="00887A23" w:rsidRDefault="00C226DE">
      <w:pPr>
        <w:rPr>
          <w:lang w:val="en-US"/>
        </w:rPr>
      </w:pPr>
      <w:r>
        <w:rPr>
          <w:lang w:val="en-US"/>
        </w:rPr>
        <w:t>The S</w:t>
      </w:r>
      <w:r w:rsidR="00887A23">
        <w:rPr>
          <w:lang w:val="en-US"/>
        </w:rPr>
        <w:t xml:space="preserve">ingle Species International Action Plan </w:t>
      </w:r>
      <w:r w:rsidR="00CA3CC1">
        <w:rPr>
          <w:lang w:val="en-US"/>
        </w:rPr>
        <w:t>was submitted to CMS</w:t>
      </w:r>
      <w:r>
        <w:rPr>
          <w:lang w:val="en-US"/>
        </w:rPr>
        <w:t xml:space="preserve"> for approval.</w:t>
      </w:r>
      <w:r w:rsidR="00887A23">
        <w:rPr>
          <w:lang w:val="en-US"/>
        </w:rPr>
        <w:t xml:space="preserve"> </w:t>
      </w:r>
      <w:r w:rsidR="00EE279C">
        <w:rPr>
          <w:lang w:val="en-US"/>
        </w:rPr>
        <w:t>A s</w:t>
      </w:r>
      <w:r w:rsidR="003B3496">
        <w:rPr>
          <w:lang w:val="en-US"/>
        </w:rPr>
        <w:t xml:space="preserve">chedule of National Action Planning Workshops (Russia, China, </w:t>
      </w:r>
      <w:proofErr w:type="gramStart"/>
      <w:r w:rsidR="003B3496">
        <w:rPr>
          <w:lang w:val="en-US"/>
        </w:rPr>
        <w:t>South</w:t>
      </w:r>
      <w:proofErr w:type="gramEnd"/>
      <w:r w:rsidR="003B3496">
        <w:rPr>
          <w:lang w:val="en-US"/>
        </w:rPr>
        <w:t xml:space="preserve"> Korea) will be developed during </w:t>
      </w:r>
      <w:r w:rsidR="00EE279C">
        <w:rPr>
          <w:lang w:val="en-US"/>
        </w:rPr>
        <w:t xml:space="preserve">the </w:t>
      </w:r>
      <w:r w:rsidR="003B3496">
        <w:rPr>
          <w:lang w:val="en-US"/>
        </w:rPr>
        <w:t>Task Force Meeting on 5-8 of December</w:t>
      </w:r>
      <w:r w:rsidR="00422ABE">
        <w:rPr>
          <w:lang w:val="en-US"/>
        </w:rPr>
        <w:t xml:space="preserve"> 2018</w:t>
      </w:r>
      <w:r w:rsidR="003B3496">
        <w:rPr>
          <w:lang w:val="en-US"/>
        </w:rPr>
        <w:t xml:space="preserve">. </w:t>
      </w:r>
    </w:p>
    <w:p w14:paraId="7348CF58" w14:textId="77777777" w:rsidR="00342A51" w:rsidRDefault="00342A51">
      <w:pPr>
        <w:rPr>
          <w:lang w:val="en-US"/>
        </w:rPr>
      </w:pPr>
    </w:p>
    <w:p w14:paraId="4B474C8B" w14:textId="3A8B0E27" w:rsidR="00342A51" w:rsidRPr="00342A51" w:rsidRDefault="00342A51">
      <w:pPr>
        <w:rPr>
          <w:b/>
          <w:lang w:val="en-US"/>
        </w:rPr>
      </w:pPr>
      <w:r w:rsidRPr="00342A51">
        <w:rPr>
          <w:b/>
          <w:lang w:val="en-US"/>
        </w:rPr>
        <w:t xml:space="preserve">Task Force </w:t>
      </w:r>
      <w:r w:rsidR="00C026EC" w:rsidRPr="00342A51">
        <w:rPr>
          <w:b/>
          <w:lang w:val="en-US"/>
        </w:rPr>
        <w:t>Operations</w:t>
      </w:r>
    </w:p>
    <w:p w14:paraId="095047CB" w14:textId="52721849" w:rsidR="00B41AA3" w:rsidRDefault="00B41AA3">
      <w:pPr>
        <w:rPr>
          <w:lang w:val="en-US"/>
        </w:rPr>
      </w:pPr>
      <w:r>
        <w:rPr>
          <w:lang w:val="en-US"/>
        </w:rPr>
        <w:t xml:space="preserve">The </w:t>
      </w:r>
      <w:r w:rsidR="00342A51">
        <w:rPr>
          <w:lang w:val="en-US"/>
        </w:rPr>
        <w:t xml:space="preserve">Scaly-sided Merganser Task Force </w:t>
      </w:r>
      <w:r>
        <w:rPr>
          <w:lang w:val="en-US"/>
        </w:rPr>
        <w:t xml:space="preserve">now numbers </w:t>
      </w:r>
      <w:r w:rsidR="000531EE">
        <w:rPr>
          <w:lang w:val="en-US"/>
        </w:rPr>
        <w:t xml:space="preserve">20 members and </w:t>
      </w:r>
      <w:r w:rsidR="00CA3CC1">
        <w:rPr>
          <w:lang w:val="en-US"/>
        </w:rPr>
        <w:t>eight</w:t>
      </w:r>
      <w:r>
        <w:rPr>
          <w:lang w:val="en-US"/>
        </w:rPr>
        <w:t xml:space="preserve"> </w:t>
      </w:r>
      <w:r w:rsidR="000531EE">
        <w:rPr>
          <w:lang w:val="en-US"/>
        </w:rPr>
        <w:t>consultants</w:t>
      </w:r>
      <w:r w:rsidR="00CA3CC1">
        <w:rPr>
          <w:lang w:val="en-US"/>
        </w:rPr>
        <w:t xml:space="preserve">. </w:t>
      </w:r>
      <w:r w:rsidR="002E6EEF" w:rsidRPr="002E6EEF">
        <w:rPr>
          <w:lang w:val="en-US"/>
        </w:rPr>
        <w:t xml:space="preserve">Task Force members work on both </w:t>
      </w:r>
      <w:r w:rsidR="002E6EEF" w:rsidRPr="002E6EEF">
        <w:rPr>
          <w:i/>
          <w:lang w:val="en-US"/>
        </w:rPr>
        <w:t xml:space="preserve">in </w:t>
      </w:r>
      <w:r w:rsidR="002E6EEF" w:rsidRPr="002E6EEF">
        <w:rPr>
          <w:lang w:val="en-US"/>
        </w:rPr>
        <w:t>and</w:t>
      </w:r>
      <w:r w:rsidR="002E6EEF" w:rsidRPr="002E6EEF">
        <w:rPr>
          <w:i/>
          <w:lang w:val="en-US"/>
        </w:rPr>
        <w:t xml:space="preserve"> ex situ </w:t>
      </w:r>
      <w:r w:rsidR="002E6EEF" w:rsidRPr="002E6EEF">
        <w:rPr>
          <w:lang w:val="en-US"/>
        </w:rPr>
        <w:t>conservation</w:t>
      </w:r>
      <w:r w:rsidR="002E6EEF">
        <w:rPr>
          <w:lang w:val="en-US"/>
        </w:rPr>
        <w:t xml:space="preserve">. </w:t>
      </w:r>
      <w:r w:rsidR="00CA3CC1">
        <w:rPr>
          <w:lang w:val="en-US"/>
        </w:rPr>
        <w:t>F</w:t>
      </w:r>
      <w:r w:rsidR="00342A51">
        <w:rPr>
          <w:lang w:val="en-US"/>
        </w:rPr>
        <w:t xml:space="preserve">unding </w:t>
      </w:r>
      <w:r w:rsidR="00CA3CC1">
        <w:rPr>
          <w:lang w:val="en-US"/>
        </w:rPr>
        <w:t>of small conservation projects became regular on</w:t>
      </w:r>
      <w:r w:rsidR="00EE279C">
        <w:rPr>
          <w:lang w:val="en-US"/>
        </w:rPr>
        <w:t xml:space="preserve"> an</w:t>
      </w:r>
      <w:r w:rsidR="00CA3CC1">
        <w:rPr>
          <w:lang w:val="en-US"/>
        </w:rPr>
        <w:t xml:space="preserve"> annual basis </w:t>
      </w:r>
      <w:r w:rsidR="00EE279C">
        <w:rPr>
          <w:lang w:val="en-US"/>
        </w:rPr>
        <w:t xml:space="preserve">after </w:t>
      </w:r>
      <w:proofErr w:type="gramStart"/>
      <w:r w:rsidR="00EE279C">
        <w:rPr>
          <w:lang w:val="en-US"/>
        </w:rPr>
        <w:t xml:space="preserve">we </w:t>
      </w:r>
      <w:r w:rsidR="002E6EEF">
        <w:rPr>
          <w:lang w:val="en-US"/>
        </w:rPr>
        <w:t xml:space="preserve"> developed</w:t>
      </w:r>
      <w:proofErr w:type="gramEnd"/>
      <w:r w:rsidR="002E6EEF">
        <w:rPr>
          <w:lang w:val="en-US"/>
        </w:rPr>
        <w:t xml:space="preserve"> </w:t>
      </w:r>
      <w:r w:rsidR="00EE279C">
        <w:rPr>
          <w:lang w:val="en-US"/>
        </w:rPr>
        <w:t xml:space="preserve">an </w:t>
      </w:r>
      <w:r w:rsidR="002E6EEF">
        <w:rPr>
          <w:lang w:val="en-US"/>
        </w:rPr>
        <w:t>application and evaluation process</w:t>
      </w:r>
      <w:r w:rsidR="00422ABE">
        <w:rPr>
          <w:lang w:val="en-US"/>
        </w:rPr>
        <w:t>es</w:t>
      </w:r>
      <w:r w:rsidR="002E6EEF">
        <w:rPr>
          <w:lang w:val="en-US"/>
        </w:rPr>
        <w:t>. Funds for small grants were provided by</w:t>
      </w:r>
      <w:r w:rsidR="00CA3CC1">
        <w:rPr>
          <w:lang w:val="en-US"/>
        </w:rPr>
        <w:t xml:space="preserve"> Zoos associated in WAZA, ARAZA, and EAZA</w:t>
      </w:r>
      <w:r w:rsidR="003B3496">
        <w:rPr>
          <w:lang w:val="en-US"/>
        </w:rPr>
        <w:t xml:space="preserve">. </w:t>
      </w:r>
    </w:p>
    <w:p w14:paraId="680E87BA" w14:textId="77777777" w:rsidR="00DA5AB0" w:rsidRDefault="00DA5AB0">
      <w:pPr>
        <w:rPr>
          <w:lang w:val="en-US"/>
        </w:rPr>
      </w:pPr>
    </w:p>
    <w:p w14:paraId="1079D3FF" w14:textId="6BBDF5AA" w:rsidR="00DA5AB0" w:rsidRPr="00DA5AB0" w:rsidRDefault="00DA5AB0">
      <w:pPr>
        <w:rPr>
          <w:b/>
          <w:lang w:val="en-US"/>
        </w:rPr>
      </w:pPr>
      <w:r w:rsidRPr="00DA5AB0">
        <w:rPr>
          <w:b/>
          <w:lang w:val="en-US"/>
        </w:rPr>
        <w:t xml:space="preserve">Conservation </w:t>
      </w:r>
      <w:r w:rsidR="00EE279C">
        <w:rPr>
          <w:b/>
          <w:lang w:val="en-US"/>
        </w:rPr>
        <w:t>I</w:t>
      </w:r>
      <w:r w:rsidRPr="00DA5AB0">
        <w:rPr>
          <w:b/>
          <w:lang w:val="en-US"/>
        </w:rPr>
        <w:t xml:space="preserve">nitiatives on </w:t>
      </w:r>
      <w:r w:rsidR="00EE279C">
        <w:rPr>
          <w:b/>
          <w:lang w:val="en-US"/>
        </w:rPr>
        <w:t>a L</w:t>
      </w:r>
      <w:r w:rsidRPr="00DA5AB0">
        <w:rPr>
          <w:b/>
          <w:lang w:val="en-US"/>
        </w:rPr>
        <w:t xml:space="preserve">ocal </w:t>
      </w:r>
      <w:r w:rsidR="00EE279C">
        <w:rPr>
          <w:b/>
          <w:lang w:val="en-US"/>
        </w:rPr>
        <w:t>l</w:t>
      </w:r>
      <w:r w:rsidRPr="00DA5AB0">
        <w:rPr>
          <w:b/>
          <w:lang w:val="en-US"/>
        </w:rPr>
        <w:t>evel</w:t>
      </w:r>
    </w:p>
    <w:p w14:paraId="69B4F4D7" w14:textId="7F995B82" w:rsidR="007E74B7" w:rsidRDefault="00DA5AB0" w:rsidP="007E74B7">
      <w:r w:rsidRPr="00DA5AB0">
        <w:rPr>
          <w:lang w:val="en-US"/>
        </w:rPr>
        <w:t>The Scaly-sided Merganser is recognized as one of the four key species (Scaly-sided Merganser, Oriental White Stork, Siberian Crane and Amur</w:t>
      </w:r>
      <w:r>
        <w:rPr>
          <w:lang w:val="en-US"/>
        </w:rPr>
        <w:t xml:space="preserve"> </w:t>
      </w:r>
      <w:r w:rsidR="00EE279C">
        <w:rPr>
          <w:lang w:val="en-US"/>
        </w:rPr>
        <w:t>T</w:t>
      </w:r>
      <w:r>
        <w:rPr>
          <w:lang w:val="en-US"/>
        </w:rPr>
        <w:t xml:space="preserve">iger) in the ‘strategy plan’ </w:t>
      </w:r>
      <w:r w:rsidRPr="00DA5AB0">
        <w:rPr>
          <w:lang w:val="en-US"/>
        </w:rPr>
        <w:t xml:space="preserve">of </w:t>
      </w:r>
      <w:r w:rsidR="00EE279C">
        <w:rPr>
          <w:lang w:val="en-US"/>
        </w:rPr>
        <w:t xml:space="preserve">the </w:t>
      </w:r>
      <w:r w:rsidRPr="00DA5AB0">
        <w:rPr>
          <w:lang w:val="en-US"/>
        </w:rPr>
        <w:t>Forestry Department of Jilin Province</w:t>
      </w:r>
      <w:r>
        <w:rPr>
          <w:lang w:val="en-US"/>
        </w:rPr>
        <w:t>, China</w:t>
      </w:r>
      <w:r w:rsidRPr="00DA5AB0">
        <w:rPr>
          <w:lang w:val="en-US"/>
        </w:rPr>
        <w:t>.</w:t>
      </w:r>
      <w:r w:rsidR="007E74B7">
        <w:rPr>
          <w:lang w:val="en-US"/>
        </w:rPr>
        <w:t xml:space="preserve"> </w:t>
      </w:r>
      <w:r w:rsidR="007E74B7" w:rsidRPr="007E74B7">
        <w:t>At the beginning of May</w:t>
      </w:r>
      <w:r w:rsidR="007E74B7">
        <w:t xml:space="preserve"> 2018</w:t>
      </w:r>
      <w:r w:rsidR="007E74B7" w:rsidRPr="007E74B7">
        <w:t xml:space="preserve">, a workshop for </w:t>
      </w:r>
      <w:r w:rsidR="00EE279C">
        <w:t>a</w:t>
      </w:r>
      <w:r w:rsidR="007E74B7" w:rsidRPr="007E74B7">
        <w:t xml:space="preserve"> specific campaign for SSM in Jilin </w:t>
      </w:r>
      <w:r w:rsidR="00935CFE">
        <w:t>P</w:t>
      </w:r>
      <w:r w:rsidR="007E74B7" w:rsidRPr="007E74B7">
        <w:t xml:space="preserve">rovince was facilitated by Forestry Department of Jilin Province and </w:t>
      </w:r>
      <w:r w:rsidR="00935CFE">
        <w:t>in full (</w:t>
      </w:r>
      <w:r w:rsidR="007E74B7" w:rsidRPr="007E74B7">
        <w:t>JPWCA</w:t>
      </w:r>
      <w:r w:rsidR="00935CFE">
        <w:t>)</w:t>
      </w:r>
      <w:r w:rsidR="007E74B7" w:rsidRPr="007E74B7">
        <w:t>. Delegates fr</w:t>
      </w:r>
      <w:r w:rsidR="007E74B7">
        <w:t>om more than fifteen different F</w:t>
      </w:r>
      <w:r w:rsidR="007E74B7" w:rsidRPr="007E74B7">
        <w:t xml:space="preserve">orestry </w:t>
      </w:r>
      <w:r w:rsidR="007E74B7">
        <w:t>B</w:t>
      </w:r>
      <w:r w:rsidR="007E74B7" w:rsidRPr="007E74B7">
        <w:t xml:space="preserve">ureaus participated </w:t>
      </w:r>
      <w:r w:rsidR="007E74B7">
        <w:t xml:space="preserve">in </w:t>
      </w:r>
      <w:r w:rsidR="007E74B7" w:rsidRPr="007E74B7">
        <w:t xml:space="preserve">the workshop and introduced  the situation </w:t>
      </w:r>
      <w:r w:rsidR="007E74B7">
        <w:t>with Scaly-sided Merganser in each F</w:t>
      </w:r>
      <w:r w:rsidR="007E74B7" w:rsidRPr="007E74B7">
        <w:t xml:space="preserve">orestry </w:t>
      </w:r>
      <w:r w:rsidR="007E74B7">
        <w:t>B</w:t>
      </w:r>
      <w:r w:rsidR="007E74B7" w:rsidRPr="007E74B7">
        <w:t>ureau</w:t>
      </w:r>
      <w:r w:rsidR="007E74B7">
        <w:t>.</w:t>
      </w:r>
    </w:p>
    <w:p w14:paraId="2D2CFE84" w14:textId="77777777" w:rsidR="000D3163" w:rsidRDefault="000D3163">
      <w:pPr>
        <w:rPr>
          <w:lang w:val="en-US"/>
        </w:rPr>
      </w:pPr>
    </w:p>
    <w:p w14:paraId="322CCB8C" w14:textId="07A40923" w:rsidR="000D3163" w:rsidRDefault="000D3163">
      <w:pPr>
        <w:rPr>
          <w:b/>
        </w:rPr>
      </w:pPr>
      <w:r w:rsidRPr="000D3163">
        <w:rPr>
          <w:b/>
        </w:rPr>
        <w:t>Breeding Population Dynamics in Russia</w:t>
      </w:r>
      <w:r w:rsidR="00422ABE">
        <w:rPr>
          <w:b/>
        </w:rPr>
        <w:t xml:space="preserve"> and China</w:t>
      </w:r>
    </w:p>
    <w:p w14:paraId="7B89792C" w14:textId="77777777" w:rsidR="00F41CD2" w:rsidRPr="00342A51" w:rsidRDefault="00B41AA3" w:rsidP="00F41CD2">
      <w:r>
        <w:t xml:space="preserve">The </w:t>
      </w:r>
      <w:r w:rsidR="00F41CD2" w:rsidRPr="00342A51">
        <w:t xml:space="preserve">Scaly-sided </w:t>
      </w:r>
      <w:r w:rsidRPr="00342A51">
        <w:t xml:space="preserve">Merganser </w:t>
      </w:r>
      <w:r w:rsidR="00F41CD2" w:rsidRPr="00342A51">
        <w:t xml:space="preserve">population </w:t>
      </w:r>
      <w:r>
        <w:t xml:space="preserve">in the </w:t>
      </w:r>
      <w:proofErr w:type="spellStart"/>
      <w:r>
        <w:t>Kievka</w:t>
      </w:r>
      <w:proofErr w:type="spellEnd"/>
      <w:r>
        <w:t xml:space="preserve"> River </w:t>
      </w:r>
      <w:r w:rsidR="00F41CD2" w:rsidRPr="00342A51">
        <w:t xml:space="preserve">study </w:t>
      </w:r>
      <w:r>
        <w:t xml:space="preserve">area has been largely stable at around 40-60 pairs since the study began in </w:t>
      </w:r>
      <w:r w:rsidR="00F41CD2" w:rsidRPr="00342A51">
        <w:t xml:space="preserve">2000 </w:t>
      </w:r>
      <w:r>
        <w:t>(</w:t>
      </w:r>
      <w:r w:rsidR="00F41CD2" w:rsidRPr="00342A51">
        <w:t xml:space="preserve">Figure 1). </w:t>
      </w:r>
    </w:p>
    <w:p w14:paraId="63FA797B" w14:textId="77777777" w:rsidR="00895383" w:rsidRDefault="00895383">
      <w:pPr>
        <w:rPr>
          <w:b/>
        </w:rPr>
      </w:pPr>
    </w:p>
    <w:p w14:paraId="43891836" w14:textId="1E2AB92C" w:rsidR="00342A51" w:rsidRDefault="00DA5AB0">
      <w:r>
        <w:rPr>
          <w:noProof/>
          <w:lang w:val="ru-RU" w:eastAsia="ru-RU"/>
        </w:rPr>
        <w:lastRenderedPageBreak/>
        <w:drawing>
          <wp:inline distT="0" distB="0" distL="0" distR="0" wp14:anchorId="4D891CAD" wp14:editId="702D53D6">
            <wp:extent cx="6152515" cy="3960495"/>
            <wp:effectExtent l="0" t="0" r="63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Style w:val="a7"/>
        </w:rPr>
        <w:t xml:space="preserve"> </w:t>
      </w:r>
      <w:r w:rsidR="00342A51" w:rsidRPr="00342A51">
        <w:t xml:space="preserve">Figure 1. </w:t>
      </w:r>
      <w:r w:rsidR="00B41AA3">
        <w:t xml:space="preserve">Numbers </w:t>
      </w:r>
      <w:r w:rsidR="00342A51" w:rsidRPr="00342A51">
        <w:t xml:space="preserve">of Scaly-sided </w:t>
      </w:r>
      <w:r w:rsidR="00B41AA3" w:rsidRPr="00342A51">
        <w:t xml:space="preserve">Merganser </w:t>
      </w:r>
      <w:r w:rsidR="00342A51" w:rsidRPr="00342A51">
        <w:t>breeding pair</w:t>
      </w:r>
      <w:r w:rsidR="00B41AA3">
        <w:t xml:space="preserve">s and broods </w:t>
      </w:r>
      <w:r w:rsidR="00342A51" w:rsidRPr="00342A51">
        <w:t xml:space="preserve">in </w:t>
      </w:r>
      <w:r w:rsidR="00B41AA3">
        <w:t xml:space="preserve">the </w:t>
      </w:r>
      <w:proofErr w:type="spellStart"/>
      <w:r w:rsidR="00342A51" w:rsidRPr="00342A51">
        <w:t>Kievka</w:t>
      </w:r>
      <w:proofErr w:type="spellEnd"/>
      <w:r w:rsidR="00342A51" w:rsidRPr="00342A51">
        <w:t xml:space="preserve"> R</w:t>
      </w:r>
      <w:r w:rsidR="00B41AA3">
        <w:t>iver</w:t>
      </w:r>
      <w:r w:rsidR="00342A51" w:rsidRPr="00342A51">
        <w:t xml:space="preserve"> catchment, </w:t>
      </w:r>
      <w:proofErr w:type="spellStart"/>
      <w:r w:rsidR="00342A51" w:rsidRPr="00342A51">
        <w:t>Primorye</w:t>
      </w:r>
      <w:proofErr w:type="spellEnd"/>
      <w:r w:rsidR="00342A51" w:rsidRPr="00342A51">
        <w:t xml:space="preserve">, Russia. </w:t>
      </w:r>
    </w:p>
    <w:p w14:paraId="7D72A0D6" w14:textId="77777777" w:rsidR="00CA01AA" w:rsidRDefault="00CA01AA"/>
    <w:p w14:paraId="31912E0D" w14:textId="2B04AB9B" w:rsidR="00887A23" w:rsidRDefault="00887A23">
      <w:pPr>
        <w:rPr>
          <w:b/>
        </w:rPr>
      </w:pPr>
      <w:r>
        <w:rPr>
          <w:b/>
        </w:rPr>
        <w:t xml:space="preserve">Large-scale </w:t>
      </w:r>
      <w:r w:rsidR="00935CFE">
        <w:rPr>
          <w:b/>
        </w:rPr>
        <w:t>S</w:t>
      </w:r>
      <w:r>
        <w:rPr>
          <w:b/>
        </w:rPr>
        <w:t xml:space="preserve">urveys on </w:t>
      </w:r>
      <w:r w:rsidR="00935CFE">
        <w:rPr>
          <w:b/>
        </w:rPr>
        <w:t xml:space="preserve">the Wintering Grounds </w:t>
      </w:r>
      <w:r>
        <w:rPr>
          <w:b/>
        </w:rPr>
        <w:t>in China</w:t>
      </w:r>
    </w:p>
    <w:p w14:paraId="169116A2" w14:textId="0791FACC" w:rsidR="00C31DA8" w:rsidRDefault="00C31DA8" w:rsidP="00C31DA8">
      <w:r>
        <w:t>A total of 2</w:t>
      </w:r>
      <w:r w:rsidR="00935CFE">
        <w:t>,</w:t>
      </w:r>
      <w:r>
        <w:t>019 people took part in the surveys</w:t>
      </w:r>
      <w:r w:rsidR="00A81B59">
        <w:t xml:space="preserve"> in 2014-16</w:t>
      </w:r>
      <w:r>
        <w:t>. Most of the participants were from 102 bird watching societies, universities and institutes, or relevant organizations with basic background of f</w:t>
      </w:r>
      <w:r w:rsidR="00935CFE">
        <w:t>i</w:t>
      </w:r>
      <w:r>
        <w:t xml:space="preserve">eld work and bird watching. All volunteer observers were trained to identify </w:t>
      </w:r>
      <w:r w:rsidRPr="00B17760">
        <w:rPr>
          <w:i/>
        </w:rPr>
        <w:t>M. squamatus</w:t>
      </w:r>
      <w:r>
        <w:t>,</w:t>
      </w:r>
    </w:p>
    <w:p w14:paraId="09F7CB71" w14:textId="1C9F720D" w:rsidR="00887A23" w:rsidRDefault="00C31DA8" w:rsidP="00C31DA8">
      <w:proofErr w:type="gramStart"/>
      <w:r>
        <w:t>especially</w:t>
      </w:r>
      <w:proofErr w:type="gramEnd"/>
      <w:r>
        <w:t xml:space="preserve"> from Common Merganser </w:t>
      </w:r>
      <w:r w:rsidRPr="00B17760">
        <w:rPr>
          <w:i/>
        </w:rPr>
        <w:t>M. merganser</w:t>
      </w:r>
      <w:r>
        <w:t xml:space="preserve"> or Red-breasted Merganser </w:t>
      </w:r>
      <w:r w:rsidRPr="00B17760">
        <w:rPr>
          <w:i/>
        </w:rPr>
        <w:t>M. serrator</w:t>
      </w:r>
      <w:r>
        <w:t xml:space="preserve">. </w:t>
      </w:r>
      <w:r w:rsidR="00DA5AB0">
        <w:t>T</w:t>
      </w:r>
      <w:r>
        <w:t>h</w:t>
      </w:r>
      <w:r w:rsidR="00DA5AB0">
        <w:t xml:space="preserve">e distance from the south to the north </w:t>
      </w:r>
      <w:r w:rsidR="00935CFE">
        <w:t xml:space="preserve">was </w:t>
      </w:r>
      <w:r w:rsidR="00DA5AB0">
        <w:t>c. 2</w:t>
      </w:r>
      <w:r w:rsidR="00935CFE">
        <w:t>,</w:t>
      </w:r>
      <w:r w:rsidR="00DA5AB0">
        <w:t>600 km and east to west c. 2</w:t>
      </w:r>
      <w:r w:rsidR="00935CFE">
        <w:t>,</w:t>
      </w:r>
      <w:r w:rsidR="00DA5AB0">
        <w:t>400 km. In total, 441, 634</w:t>
      </w:r>
      <w:r>
        <w:t xml:space="preserve"> and 1</w:t>
      </w:r>
      <w:r w:rsidR="00935CFE">
        <w:t>,</w:t>
      </w:r>
      <w:r>
        <w:t xml:space="preserve">138 individuals </w:t>
      </w:r>
      <w:r w:rsidR="00DA5AB0">
        <w:t>were recorded in</w:t>
      </w:r>
      <w:r>
        <w:t xml:space="preserve"> </w:t>
      </w:r>
      <w:r w:rsidR="00DA5AB0">
        <w:t>winters of 2014, 2015 and 2016</w:t>
      </w:r>
      <w:r w:rsidR="00935CFE">
        <w:t>,</w:t>
      </w:r>
      <w:r w:rsidR="00DA5AB0">
        <w:t xml:space="preserve"> respectively</w:t>
      </w:r>
      <w:r>
        <w:t xml:space="preserve"> (Qing </w:t>
      </w:r>
      <w:r w:rsidRPr="002F4D2B">
        <w:rPr>
          <w:i/>
        </w:rPr>
        <w:t>et al</w:t>
      </w:r>
      <w:r w:rsidR="00935CFE">
        <w:rPr>
          <w:i/>
        </w:rPr>
        <w:t>.</w:t>
      </w:r>
      <w:r>
        <w:t xml:space="preserve"> 2018). </w:t>
      </w:r>
      <w:r w:rsidR="00A81B59">
        <w:t xml:space="preserve">Surveys were continued in 2017-18. </w:t>
      </w:r>
      <w:r w:rsidR="00887A23">
        <w:t xml:space="preserve">  </w:t>
      </w:r>
    </w:p>
    <w:p w14:paraId="5E21C321" w14:textId="789E6F82" w:rsidR="007E74B7" w:rsidRPr="00887A23" w:rsidRDefault="007E74B7" w:rsidP="00C31DA8">
      <w:r>
        <w:rPr>
          <w:noProof/>
          <w:lang w:val="ru-RU" w:eastAsia="ru-RU"/>
        </w:rPr>
        <w:lastRenderedPageBreak/>
        <w:drawing>
          <wp:inline distT="0" distB="0" distL="0" distR="0" wp14:anchorId="15E7FD04" wp14:editId="4D1A27A6">
            <wp:extent cx="5940425" cy="7124552"/>
            <wp:effectExtent l="0" t="0" r="3175" b="635"/>
            <wp:docPr id="2" name="Рисунок 2" descr="C:\my data\EAAFP\2018\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ata\EAAFP\2018\Figur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7124552"/>
                    </a:xfrm>
                    <a:prstGeom prst="rect">
                      <a:avLst/>
                    </a:prstGeom>
                    <a:noFill/>
                    <a:ln>
                      <a:noFill/>
                    </a:ln>
                  </pic:spPr>
                </pic:pic>
              </a:graphicData>
            </a:graphic>
          </wp:inline>
        </w:drawing>
      </w:r>
    </w:p>
    <w:p w14:paraId="22C2623F" w14:textId="6D3D196D" w:rsidR="00C31DA8" w:rsidRPr="007E74B7" w:rsidRDefault="007E74B7">
      <w:r w:rsidRPr="007E74B7">
        <w:t xml:space="preserve">Figure 2. The citizen science Scaly-sided Merganser wintering survey sites in winters 2014–2016. 1 Yangtze River, 2 Yellow River, 3 </w:t>
      </w:r>
      <w:proofErr w:type="spellStart"/>
      <w:r w:rsidRPr="007E74B7">
        <w:t>Huaihe</w:t>
      </w:r>
      <w:proofErr w:type="spellEnd"/>
      <w:r w:rsidRPr="007E74B7">
        <w:t xml:space="preserve"> River, 4 Pearl River, 5 </w:t>
      </w:r>
      <w:proofErr w:type="spellStart"/>
      <w:r w:rsidRPr="007E74B7">
        <w:t>Lancang</w:t>
      </w:r>
      <w:proofErr w:type="spellEnd"/>
      <w:r w:rsidRPr="007E74B7">
        <w:t xml:space="preserve"> River, 6 </w:t>
      </w:r>
      <w:proofErr w:type="spellStart"/>
      <w:r w:rsidRPr="007E74B7">
        <w:t>Liaohe</w:t>
      </w:r>
      <w:proofErr w:type="spellEnd"/>
      <w:r w:rsidRPr="007E74B7">
        <w:t xml:space="preserve"> River</w:t>
      </w:r>
      <w:r>
        <w:t xml:space="preserve"> (Qing </w:t>
      </w:r>
      <w:r w:rsidRPr="00DB1E57">
        <w:rPr>
          <w:i/>
        </w:rPr>
        <w:t>et al</w:t>
      </w:r>
      <w:r w:rsidR="00935CFE">
        <w:t>.</w:t>
      </w:r>
      <w:r>
        <w:t xml:space="preserve"> 2018)</w:t>
      </w:r>
    </w:p>
    <w:p w14:paraId="142DDDFD" w14:textId="77777777" w:rsidR="007E74B7" w:rsidRDefault="007E74B7">
      <w:pPr>
        <w:rPr>
          <w:b/>
        </w:rPr>
      </w:pPr>
    </w:p>
    <w:p w14:paraId="024464AD" w14:textId="77777777" w:rsidR="00CA01AA" w:rsidRDefault="00CA01AA">
      <w:pPr>
        <w:rPr>
          <w:b/>
        </w:rPr>
      </w:pPr>
      <w:r w:rsidRPr="00CA01AA">
        <w:rPr>
          <w:b/>
        </w:rPr>
        <w:t>Artificial Nest Box Programme</w:t>
      </w:r>
    </w:p>
    <w:p w14:paraId="14D70449" w14:textId="5028C97C" w:rsidR="00CA01AA" w:rsidRDefault="00A81B59">
      <w:r>
        <w:t xml:space="preserve">Three </w:t>
      </w:r>
      <w:r w:rsidR="00CA01AA">
        <w:t xml:space="preserve">active “incubators” in </w:t>
      </w:r>
      <w:r w:rsidR="00935CFE">
        <w:t xml:space="preserve">the </w:t>
      </w:r>
      <w:proofErr w:type="spellStart"/>
      <w:r w:rsidR="00CA01AA">
        <w:t>Primorye</w:t>
      </w:r>
      <w:proofErr w:type="spellEnd"/>
      <w:r w:rsidR="00A4395C">
        <w:t xml:space="preserve"> –</w:t>
      </w:r>
      <w:r w:rsidR="00935CFE">
        <w:t xml:space="preserve"> </w:t>
      </w:r>
      <w:r w:rsidR="00CA01AA">
        <w:t xml:space="preserve">the </w:t>
      </w:r>
      <w:proofErr w:type="spellStart"/>
      <w:r w:rsidR="00CA01AA">
        <w:t>Kievka</w:t>
      </w:r>
      <w:proofErr w:type="spellEnd"/>
      <w:r w:rsidR="00CA01AA">
        <w:t xml:space="preserve"> R</w:t>
      </w:r>
      <w:r w:rsidR="00A4395C">
        <w:t>iver</w:t>
      </w:r>
      <w:r w:rsidR="00CA01AA">
        <w:t xml:space="preserve"> basin</w:t>
      </w:r>
      <w:r>
        <w:t xml:space="preserve">, </w:t>
      </w:r>
      <w:r w:rsidR="00CA01AA">
        <w:t xml:space="preserve">the </w:t>
      </w:r>
      <w:proofErr w:type="spellStart"/>
      <w:r w:rsidR="00CA01AA">
        <w:t>Avvakumovka</w:t>
      </w:r>
      <w:proofErr w:type="spellEnd"/>
      <w:r w:rsidR="00CA01AA">
        <w:t xml:space="preserve"> R</w:t>
      </w:r>
      <w:r w:rsidR="00A4395C">
        <w:t>iver</w:t>
      </w:r>
      <w:r w:rsidR="00275650">
        <w:t xml:space="preserve">, </w:t>
      </w:r>
      <w:r>
        <w:t xml:space="preserve">and </w:t>
      </w:r>
      <w:r w:rsidR="00A4395C">
        <w:t xml:space="preserve">the </w:t>
      </w:r>
      <w:proofErr w:type="spellStart"/>
      <w:r w:rsidR="00CA01AA">
        <w:t>Zhuravlevka</w:t>
      </w:r>
      <w:proofErr w:type="spellEnd"/>
      <w:r w:rsidR="00CA01AA">
        <w:t xml:space="preserve"> R</w:t>
      </w:r>
      <w:r w:rsidR="00A4395C">
        <w:t>iver</w:t>
      </w:r>
      <w:r w:rsidR="00CA01AA">
        <w:t xml:space="preserve"> </w:t>
      </w:r>
      <w:r w:rsidR="00A4395C">
        <w:t xml:space="preserve">produced </w:t>
      </w:r>
      <w:r w:rsidR="00E86DA2">
        <w:rPr>
          <w:lang w:val="en-US"/>
        </w:rPr>
        <w:t>between 227 and 287</w:t>
      </w:r>
      <w:r w:rsidR="00CA01AA">
        <w:t xml:space="preserve"> ducklings </w:t>
      </w:r>
      <w:r w:rsidR="008C4191">
        <w:t>in 201</w:t>
      </w:r>
      <w:r w:rsidR="00E86DA2">
        <w:t>7</w:t>
      </w:r>
      <w:r w:rsidR="008C4191">
        <w:t xml:space="preserve"> and 201</w:t>
      </w:r>
      <w:r w:rsidR="00E86DA2">
        <w:t>8</w:t>
      </w:r>
      <w:r w:rsidR="008C4191">
        <w:t xml:space="preserve">, making a total of </w:t>
      </w:r>
      <w:r w:rsidR="000F3E3C">
        <w:t>1</w:t>
      </w:r>
      <w:r w:rsidR="00935CFE">
        <w:t>,</w:t>
      </w:r>
      <w:r w:rsidR="000F3E3C">
        <w:t>449 to 1</w:t>
      </w:r>
      <w:r w:rsidR="00935CFE">
        <w:t>,</w:t>
      </w:r>
      <w:r w:rsidR="000F3E3C">
        <w:t>910</w:t>
      </w:r>
      <w:r w:rsidR="008C4191">
        <w:t xml:space="preserve"> since the project began</w:t>
      </w:r>
      <w:r w:rsidR="00CC301E">
        <w:t xml:space="preserve">. </w:t>
      </w:r>
      <w:r w:rsidR="00935CFE">
        <w:t xml:space="preserve">The nest </w:t>
      </w:r>
      <w:r w:rsidR="00CC301E">
        <w:t>box</w:t>
      </w:r>
      <w:r w:rsidR="008C4191">
        <w:t xml:space="preserve"> </w:t>
      </w:r>
      <w:r w:rsidR="000F3E3C">
        <w:t>campaign continues</w:t>
      </w:r>
      <w:r w:rsidR="00E86DA2">
        <w:t xml:space="preserve"> to be successful in</w:t>
      </w:r>
      <w:r w:rsidR="008C4191">
        <w:t xml:space="preserve"> </w:t>
      </w:r>
      <w:proofErr w:type="spellStart"/>
      <w:r w:rsidR="00CC301E">
        <w:t>Changbaishan</w:t>
      </w:r>
      <w:proofErr w:type="spellEnd"/>
      <w:r w:rsidR="00CC301E">
        <w:t xml:space="preserve"> M</w:t>
      </w:r>
      <w:r w:rsidR="008C4191">
        <w:t xml:space="preserve">ountains in China </w:t>
      </w:r>
      <w:r w:rsidR="00E86DA2">
        <w:t>and unclear results were provided by</w:t>
      </w:r>
      <w:r w:rsidR="00CC301E">
        <w:t xml:space="preserve"> </w:t>
      </w:r>
      <w:proofErr w:type="spellStart"/>
      <w:r w:rsidR="00CC301E">
        <w:t>Bishui</w:t>
      </w:r>
      <w:proofErr w:type="spellEnd"/>
      <w:r w:rsidR="00CC301E">
        <w:t xml:space="preserve"> </w:t>
      </w:r>
      <w:r w:rsidR="008C4191">
        <w:t xml:space="preserve">Nature Reserve </w:t>
      </w:r>
      <w:r w:rsidR="00CC301E">
        <w:t xml:space="preserve">(Lesser </w:t>
      </w:r>
      <w:proofErr w:type="spellStart"/>
      <w:r w:rsidR="00CC301E">
        <w:t>Xingan</w:t>
      </w:r>
      <w:proofErr w:type="spellEnd"/>
      <w:r w:rsidR="00C0768D">
        <w:t xml:space="preserve"> Mountains</w:t>
      </w:r>
      <w:r w:rsidR="00CC301E">
        <w:t xml:space="preserve">). </w:t>
      </w:r>
      <w:r w:rsidR="00887A23">
        <w:t>Video monitoring of nest box</w:t>
      </w:r>
      <w:r w:rsidR="00C0768D">
        <w:t>es</w:t>
      </w:r>
      <w:r w:rsidR="00887A23">
        <w:t xml:space="preserve"> in Russia help</w:t>
      </w:r>
      <w:r w:rsidR="00A4333A">
        <w:t>ed</w:t>
      </w:r>
      <w:r w:rsidR="00887A23">
        <w:t xml:space="preserve"> to </w:t>
      </w:r>
      <w:r w:rsidR="00824754">
        <w:t xml:space="preserve">reduce </w:t>
      </w:r>
      <w:r w:rsidR="00887A23">
        <w:t>hen disturbance during incubation</w:t>
      </w:r>
      <w:r w:rsidR="00824754">
        <w:t xml:space="preserve"> </w:t>
      </w:r>
      <w:r w:rsidR="00E86DA2">
        <w:t xml:space="preserve">via </w:t>
      </w:r>
      <w:r w:rsidR="000F3E3C">
        <w:t xml:space="preserve">remote control of nest boxes. All artificial nest sites in </w:t>
      </w:r>
      <w:r w:rsidR="00935CFE">
        <w:t xml:space="preserve">the </w:t>
      </w:r>
      <w:proofErr w:type="spellStart"/>
      <w:r w:rsidR="000F3E3C">
        <w:t>Kievka</w:t>
      </w:r>
      <w:proofErr w:type="spellEnd"/>
      <w:r w:rsidR="000F3E3C">
        <w:t xml:space="preserve"> R</w:t>
      </w:r>
      <w:r w:rsidR="00935CFE">
        <w:t>iver</w:t>
      </w:r>
      <w:r w:rsidR="000F3E3C">
        <w:t xml:space="preserve"> catchment were equipped with remote sensing video-cameras. </w:t>
      </w:r>
      <w:r w:rsidR="00B93B5C" w:rsidRPr="00B93B5C">
        <w:t xml:space="preserve">Nesting biology was </w:t>
      </w:r>
      <w:r w:rsidR="00B93B5C" w:rsidRPr="00B93B5C">
        <w:lastRenderedPageBreak/>
        <w:t xml:space="preserve">investigated over 17 years (2001-2017) in both artificial and natural nest sites in </w:t>
      </w:r>
      <w:r w:rsidR="00935CFE">
        <w:t xml:space="preserve">the </w:t>
      </w:r>
      <w:proofErr w:type="spellStart"/>
      <w:r w:rsidR="00B93B5C" w:rsidRPr="00B93B5C">
        <w:t>Primorye</w:t>
      </w:r>
      <w:proofErr w:type="spellEnd"/>
      <w:r w:rsidR="00B93B5C">
        <w:t xml:space="preserve">. </w:t>
      </w:r>
      <w:r w:rsidR="00B93B5C" w:rsidRPr="00B93B5C">
        <w:t xml:space="preserve">A total of 205 nests were recorded: 190 nests in artificial sites and 15 in natural cavities. Occupation rate of nest boxes (27.8%) was significantly higher than of nest tubes (20.2%). Clutch size averaged 11.08 ± 0.05 (n=145) eggs. Inter- and intraspecific nest parasitism </w:t>
      </w:r>
      <w:r w:rsidR="00935CFE">
        <w:t xml:space="preserve">was </w:t>
      </w:r>
      <w:r w:rsidR="00B93B5C" w:rsidRPr="00B93B5C">
        <w:t xml:space="preserve">described and the effect of parasitism on nest success </w:t>
      </w:r>
      <w:r w:rsidR="00935CFE">
        <w:t xml:space="preserve">was </w:t>
      </w:r>
      <w:r w:rsidR="00B93B5C" w:rsidRPr="00B93B5C">
        <w:t xml:space="preserve">evaluated. Advanced clutch onset during the study period was significant. Apparent nest success (70.4 ± 4.0 % </w:t>
      </w:r>
      <w:r w:rsidR="00935CFE">
        <w:t xml:space="preserve">- </w:t>
      </w:r>
      <w:r w:rsidR="00B93B5C" w:rsidRPr="00B93B5C">
        <w:t>proportion of nests produc</w:t>
      </w:r>
      <w:r w:rsidR="00935CFE">
        <w:t>ing</w:t>
      </w:r>
      <w:r w:rsidR="00B93B5C" w:rsidRPr="00B93B5C">
        <w:t xml:space="preserve"> at least one young) was independent of cavity type, with no significant difference between artificial and natural sites. </w:t>
      </w:r>
    </w:p>
    <w:p w14:paraId="446B729A" w14:textId="77777777" w:rsidR="00B93B5C" w:rsidRDefault="00B93B5C"/>
    <w:p w14:paraId="1F6B69AE" w14:textId="77777777" w:rsidR="00475798" w:rsidRPr="00475798" w:rsidRDefault="00475798" w:rsidP="00475798">
      <w:pPr>
        <w:rPr>
          <w:b/>
        </w:rPr>
      </w:pPr>
      <w:r w:rsidRPr="00475798">
        <w:rPr>
          <w:b/>
        </w:rPr>
        <w:t>Information and Education</w:t>
      </w:r>
    </w:p>
    <w:p w14:paraId="76C1FDF7" w14:textId="22F121CB" w:rsidR="00475798" w:rsidRDefault="00DA5AB0" w:rsidP="00475798">
      <w:r w:rsidRPr="00DA5AB0">
        <w:t xml:space="preserve">On </w:t>
      </w:r>
      <w:r w:rsidR="00935CFE">
        <w:t xml:space="preserve">19 </w:t>
      </w:r>
      <w:r w:rsidRPr="00DA5AB0">
        <w:t xml:space="preserve">April, </w:t>
      </w:r>
      <w:r w:rsidR="007E74B7">
        <w:t xml:space="preserve">2018, </w:t>
      </w:r>
      <w:r w:rsidRPr="00DA5AB0">
        <w:t xml:space="preserve">at the ceremony of ‘Bird Loving Week’ (Bird Week) of Jilin </w:t>
      </w:r>
      <w:r w:rsidR="00935CFE">
        <w:t>P</w:t>
      </w:r>
      <w:r w:rsidRPr="00DA5AB0">
        <w:t>rovince, a specific campaign was l</w:t>
      </w:r>
      <w:r w:rsidR="00935CFE">
        <w:t>a</w:t>
      </w:r>
      <w:r w:rsidRPr="00DA5AB0">
        <w:t xml:space="preserve">unched by </w:t>
      </w:r>
      <w:r w:rsidR="00935CFE">
        <w:t xml:space="preserve">the </w:t>
      </w:r>
      <w:r w:rsidRPr="00DA5AB0">
        <w:t>Forestry Department of Jilin Province. JPWCA, Northeast Normal University and WWF China signed an agreement on conducting the conservation program jointly for SSM in Jilin Province</w:t>
      </w:r>
      <w:r>
        <w:t>.</w:t>
      </w:r>
      <w:r w:rsidRPr="007E74B7">
        <w:t xml:space="preserve"> </w:t>
      </w:r>
    </w:p>
    <w:p w14:paraId="60245448" w14:textId="77777777" w:rsidR="00935CFE" w:rsidRDefault="00935CFE" w:rsidP="00475798"/>
    <w:p w14:paraId="3C2F345F" w14:textId="593AF6BD" w:rsidR="000F3E3C" w:rsidRDefault="00935CFE" w:rsidP="00475798">
      <w:proofErr w:type="gramStart"/>
      <w:r>
        <w:t>A</w:t>
      </w:r>
      <w:proofErr w:type="gramEnd"/>
      <w:r>
        <w:t xml:space="preserve"> n</w:t>
      </w:r>
      <w:r w:rsidR="000F3E3C">
        <w:t>ew leaflet was created, 2</w:t>
      </w:r>
      <w:r>
        <w:t>,</w:t>
      </w:r>
      <w:r w:rsidR="000F3E3C">
        <w:t xml:space="preserve">000 copies </w:t>
      </w:r>
      <w:r>
        <w:t xml:space="preserve">were printed </w:t>
      </w:r>
      <w:r w:rsidR="000F3E3C">
        <w:t>and distributed among</w:t>
      </w:r>
      <w:r>
        <w:t>st</w:t>
      </w:r>
      <w:r w:rsidR="000F3E3C">
        <w:t xml:space="preserve"> local people within </w:t>
      </w:r>
      <w:r>
        <w:t xml:space="preserve">the </w:t>
      </w:r>
      <w:r w:rsidR="000F3E3C">
        <w:t xml:space="preserve">entire breeding range in Russia. </w:t>
      </w:r>
      <w:r>
        <w:t xml:space="preserve">The leaflet </w:t>
      </w:r>
      <w:r w:rsidR="000F3E3C">
        <w:t xml:space="preserve">highlighted range overlap with Amur Tiger and </w:t>
      </w:r>
      <w:r w:rsidR="0052522E">
        <w:t xml:space="preserve">promoted conservation of habitats for both species of concern. </w:t>
      </w:r>
    </w:p>
    <w:p w14:paraId="7DAFA806" w14:textId="77777777" w:rsidR="00475798" w:rsidRDefault="00475798"/>
    <w:p w14:paraId="23528682" w14:textId="77777777" w:rsidR="009B353A" w:rsidRPr="009B353A" w:rsidRDefault="009B353A">
      <w:pPr>
        <w:rPr>
          <w:b/>
        </w:rPr>
      </w:pPr>
      <w:r w:rsidRPr="009B353A">
        <w:rPr>
          <w:b/>
        </w:rPr>
        <w:t>PLAN FOR THE PERIOD TO THE NEXT MOP</w:t>
      </w:r>
    </w:p>
    <w:p w14:paraId="2FFEE89E" w14:textId="77777777" w:rsidR="009B353A" w:rsidRDefault="009B353A"/>
    <w:p w14:paraId="61899728" w14:textId="5412CF52" w:rsidR="001B0B2A" w:rsidRPr="00DB1E57" w:rsidRDefault="001B0B2A" w:rsidP="00FC2DF4">
      <w:pPr>
        <w:pStyle w:val="a6"/>
        <w:numPr>
          <w:ilvl w:val="0"/>
          <w:numId w:val="1"/>
        </w:numPr>
      </w:pPr>
      <w:r>
        <w:rPr>
          <w:lang w:val="en-US"/>
        </w:rPr>
        <w:t xml:space="preserve">Hold National Action Planning Workshops and accept National Action Plans for China, S Korea and Russia. </w:t>
      </w:r>
    </w:p>
    <w:p w14:paraId="70A85A39" w14:textId="059A29F5" w:rsidR="001B0B2A" w:rsidRPr="00DB1E57" w:rsidRDefault="001B0B2A" w:rsidP="00FC2DF4">
      <w:pPr>
        <w:pStyle w:val="a6"/>
        <w:numPr>
          <w:ilvl w:val="0"/>
          <w:numId w:val="1"/>
        </w:numPr>
      </w:pPr>
      <w:r>
        <w:rPr>
          <w:lang w:val="en-US"/>
        </w:rPr>
        <w:t xml:space="preserve">Investigate genetic diversity of birds from captive and natural populations. </w:t>
      </w:r>
    </w:p>
    <w:p w14:paraId="4898AD52" w14:textId="05FF0AA2" w:rsidR="00D459A6" w:rsidRDefault="00B00CBF" w:rsidP="00FC2DF4">
      <w:pPr>
        <w:pStyle w:val="a6"/>
        <w:numPr>
          <w:ilvl w:val="0"/>
          <w:numId w:val="1"/>
        </w:numPr>
      </w:pPr>
      <w:r>
        <w:t>C</w:t>
      </w:r>
      <w:r w:rsidR="00D459A6">
        <w:t xml:space="preserve">omplete </w:t>
      </w:r>
      <w:r w:rsidR="00D459A6" w:rsidRPr="009B353A">
        <w:t xml:space="preserve">the </w:t>
      </w:r>
      <w:r>
        <w:t xml:space="preserve">Scaly-sided Merganser </w:t>
      </w:r>
      <w:r w:rsidR="00D459A6" w:rsidRPr="009B353A">
        <w:t>Field Station</w:t>
      </w:r>
      <w:r w:rsidR="00D459A6">
        <w:t xml:space="preserve"> </w:t>
      </w:r>
      <w:r>
        <w:t xml:space="preserve">in </w:t>
      </w:r>
      <w:proofErr w:type="spellStart"/>
      <w:r w:rsidR="00D459A6">
        <w:t>Kishinevka</w:t>
      </w:r>
      <w:proofErr w:type="spellEnd"/>
      <w:r w:rsidR="00D459A6">
        <w:t xml:space="preserve"> village</w:t>
      </w:r>
      <w:r>
        <w:t xml:space="preserve"> and use it </w:t>
      </w:r>
      <w:r w:rsidR="001B0B2A">
        <w:t xml:space="preserve">for education </w:t>
      </w:r>
    </w:p>
    <w:p w14:paraId="4FBD865C" w14:textId="1AAD2B3B" w:rsidR="001B0B2A" w:rsidRDefault="00DB1E57" w:rsidP="00FC2DF4">
      <w:pPr>
        <w:pStyle w:val="a6"/>
        <w:numPr>
          <w:ilvl w:val="0"/>
          <w:numId w:val="1"/>
        </w:numPr>
      </w:pPr>
      <w:r>
        <w:t>Continue main activities such as surveys on the wintering grounds, monitoring of breeding population, artificial nest programme, study of nest success and productivity.</w:t>
      </w:r>
    </w:p>
    <w:p w14:paraId="01EA7563" w14:textId="0060493C" w:rsidR="00DB1E57" w:rsidRDefault="00DB1E57" w:rsidP="00FC2DF4">
      <w:pPr>
        <w:pStyle w:val="a6"/>
        <w:numPr>
          <w:ilvl w:val="0"/>
          <w:numId w:val="1"/>
        </w:numPr>
      </w:pPr>
      <w:r>
        <w:t xml:space="preserve">Repeat surveys for the world population estimate. </w:t>
      </w:r>
    </w:p>
    <w:p w14:paraId="591161A7" w14:textId="24478CE5" w:rsidR="00935CFE" w:rsidRPr="00CA01AA" w:rsidRDefault="00935CFE" w:rsidP="00DB1E57">
      <w:pPr>
        <w:pStyle w:val="a6"/>
      </w:pPr>
      <w:bookmarkStart w:id="0" w:name="_GoBack"/>
      <w:bookmarkEnd w:id="0"/>
    </w:p>
    <w:sectPr w:rsidR="00935CFE" w:rsidRPr="00CA0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altName w:val="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5A3592"/>
    <w:lvl w:ilvl="0">
      <w:start w:val="1"/>
      <w:numFmt w:val="bullet"/>
      <w:pStyle w:val="a"/>
      <w:lvlText w:val=""/>
      <w:lvlJc w:val="left"/>
      <w:pPr>
        <w:tabs>
          <w:tab w:val="num" w:pos="360"/>
        </w:tabs>
        <w:ind w:left="360" w:hanging="360"/>
      </w:pPr>
      <w:rPr>
        <w:rFonts w:ascii="Symbol" w:hAnsi="Symbol" w:hint="default"/>
      </w:rPr>
    </w:lvl>
  </w:abstractNum>
  <w:abstractNum w:abstractNumId="1">
    <w:nsid w:val="55671548"/>
    <w:multiLevelType w:val="hybridMultilevel"/>
    <w:tmpl w:val="6074BE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z Hughes">
    <w15:presenceInfo w15:providerId="AD" w15:userId="S-1-5-21-854245398-73586283-839522115-1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6E"/>
    <w:rsid w:val="000531EE"/>
    <w:rsid w:val="000D3163"/>
    <w:rsid w:val="000F3E3C"/>
    <w:rsid w:val="00127F2C"/>
    <w:rsid w:val="00132F38"/>
    <w:rsid w:val="001B0B2A"/>
    <w:rsid w:val="001C671B"/>
    <w:rsid w:val="00275650"/>
    <w:rsid w:val="002E6EEF"/>
    <w:rsid w:val="002F4D2B"/>
    <w:rsid w:val="00342A51"/>
    <w:rsid w:val="003B3496"/>
    <w:rsid w:val="00422ABE"/>
    <w:rsid w:val="00475798"/>
    <w:rsid w:val="0052522E"/>
    <w:rsid w:val="0057569E"/>
    <w:rsid w:val="005A0DA7"/>
    <w:rsid w:val="007207B6"/>
    <w:rsid w:val="007E74B7"/>
    <w:rsid w:val="00804333"/>
    <w:rsid w:val="00824754"/>
    <w:rsid w:val="00887A23"/>
    <w:rsid w:val="00895383"/>
    <w:rsid w:val="008C4191"/>
    <w:rsid w:val="00935CFE"/>
    <w:rsid w:val="00944FD3"/>
    <w:rsid w:val="009B353A"/>
    <w:rsid w:val="00A37EF9"/>
    <w:rsid w:val="00A4333A"/>
    <w:rsid w:val="00A4395C"/>
    <w:rsid w:val="00A81B59"/>
    <w:rsid w:val="00AE275B"/>
    <w:rsid w:val="00B00CBF"/>
    <w:rsid w:val="00B17760"/>
    <w:rsid w:val="00B41AA3"/>
    <w:rsid w:val="00B533CC"/>
    <w:rsid w:val="00B93B5C"/>
    <w:rsid w:val="00BD526E"/>
    <w:rsid w:val="00C026EC"/>
    <w:rsid w:val="00C0768D"/>
    <w:rsid w:val="00C226DE"/>
    <w:rsid w:val="00C31DA8"/>
    <w:rsid w:val="00C443F1"/>
    <w:rsid w:val="00CA01AA"/>
    <w:rsid w:val="00CA36C1"/>
    <w:rsid w:val="00CA3CC1"/>
    <w:rsid w:val="00CC301E"/>
    <w:rsid w:val="00D32779"/>
    <w:rsid w:val="00D459A6"/>
    <w:rsid w:val="00DA5AB0"/>
    <w:rsid w:val="00DB1E57"/>
    <w:rsid w:val="00E57664"/>
    <w:rsid w:val="00E86DA2"/>
    <w:rsid w:val="00EE279C"/>
    <w:rsid w:val="00F27082"/>
    <w:rsid w:val="00F41CD2"/>
    <w:rsid w:val="00F55BB2"/>
    <w:rsid w:val="00F754A0"/>
    <w:rsid w:val="00FC0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526E"/>
    <w:pPr>
      <w:spacing w:after="0" w:line="240" w:lineRule="auto"/>
    </w:pPr>
    <w:rPr>
      <w:rFonts w:ascii="Garamond" w:eastAsia="Times New Roman" w:hAnsi="Garamond" w:cs="Times New Roman"/>
      <w:sz w:val="24"/>
      <w:lang w:val="en-GB"/>
    </w:rPr>
  </w:style>
  <w:style w:type="paragraph" w:styleId="1">
    <w:name w:val="heading 1"/>
    <w:basedOn w:val="a0"/>
    <w:next w:val="a0"/>
    <w:link w:val="10"/>
    <w:qFormat/>
    <w:rsid w:val="00BD526E"/>
    <w:pPr>
      <w:outlineLvl w:val="0"/>
    </w:pPr>
    <w:rPr>
      <w:rFonts w:cs="Arial"/>
      <w:b/>
      <w:bCs/>
      <w:caps/>
      <w:szCs w:val="32"/>
    </w:rPr>
  </w:style>
  <w:style w:type="paragraph" w:styleId="2">
    <w:name w:val="heading 2"/>
    <w:basedOn w:val="a0"/>
    <w:next w:val="a0"/>
    <w:link w:val="20"/>
    <w:uiPriority w:val="9"/>
    <w:semiHidden/>
    <w:unhideWhenUsed/>
    <w:qFormat/>
    <w:rsid w:val="000D31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526E"/>
    <w:rPr>
      <w:rFonts w:ascii="Garamond" w:eastAsia="Times New Roman" w:hAnsi="Garamond" w:cs="Arial"/>
      <w:b/>
      <w:bCs/>
      <w:caps/>
      <w:sz w:val="24"/>
      <w:szCs w:val="32"/>
      <w:lang w:val="en-GB"/>
    </w:rPr>
  </w:style>
  <w:style w:type="character" w:customStyle="1" w:styleId="20">
    <w:name w:val="Заголовок 2 Знак"/>
    <w:basedOn w:val="a1"/>
    <w:link w:val="2"/>
    <w:uiPriority w:val="9"/>
    <w:semiHidden/>
    <w:rsid w:val="000D3163"/>
    <w:rPr>
      <w:rFonts w:asciiTheme="majorHAnsi" w:eastAsiaTheme="majorEastAsia" w:hAnsiTheme="majorHAnsi" w:cstheme="majorBidi"/>
      <w:b/>
      <w:bCs/>
      <w:color w:val="4F81BD" w:themeColor="accent1"/>
      <w:sz w:val="26"/>
      <w:szCs w:val="26"/>
      <w:lang w:val="en-GB"/>
    </w:rPr>
  </w:style>
  <w:style w:type="paragraph" w:styleId="a4">
    <w:name w:val="Balloon Text"/>
    <w:basedOn w:val="a0"/>
    <w:link w:val="a5"/>
    <w:uiPriority w:val="99"/>
    <w:semiHidden/>
    <w:unhideWhenUsed/>
    <w:rsid w:val="00895383"/>
    <w:rPr>
      <w:rFonts w:ascii="Tahoma" w:hAnsi="Tahoma" w:cs="Tahoma"/>
      <w:sz w:val="16"/>
      <w:szCs w:val="16"/>
    </w:rPr>
  </w:style>
  <w:style w:type="character" w:customStyle="1" w:styleId="a5">
    <w:name w:val="Текст выноски Знак"/>
    <w:basedOn w:val="a1"/>
    <w:link w:val="a4"/>
    <w:uiPriority w:val="99"/>
    <w:semiHidden/>
    <w:rsid w:val="00895383"/>
    <w:rPr>
      <w:rFonts w:ascii="Tahoma" w:eastAsia="Times New Roman" w:hAnsi="Tahoma" w:cs="Tahoma"/>
      <w:sz w:val="16"/>
      <w:szCs w:val="16"/>
      <w:lang w:val="en-GB"/>
    </w:rPr>
  </w:style>
  <w:style w:type="paragraph" w:styleId="a6">
    <w:name w:val="List Paragraph"/>
    <w:basedOn w:val="a0"/>
    <w:uiPriority w:val="34"/>
    <w:qFormat/>
    <w:rsid w:val="001C671B"/>
    <w:pPr>
      <w:ind w:left="720"/>
      <w:contextualSpacing/>
    </w:pPr>
  </w:style>
  <w:style w:type="paragraph" w:styleId="a">
    <w:name w:val="List Bullet"/>
    <w:basedOn w:val="a0"/>
    <w:uiPriority w:val="99"/>
    <w:unhideWhenUsed/>
    <w:rsid w:val="00B41AA3"/>
    <w:pPr>
      <w:numPr>
        <w:numId w:val="2"/>
      </w:numPr>
      <w:contextualSpacing/>
    </w:pPr>
  </w:style>
  <w:style w:type="character" w:styleId="a7">
    <w:name w:val="annotation reference"/>
    <w:basedOn w:val="a1"/>
    <w:uiPriority w:val="99"/>
    <w:semiHidden/>
    <w:unhideWhenUsed/>
    <w:rsid w:val="00B41AA3"/>
    <w:rPr>
      <w:sz w:val="16"/>
      <w:szCs w:val="16"/>
    </w:rPr>
  </w:style>
  <w:style w:type="paragraph" w:styleId="a8">
    <w:name w:val="annotation text"/>
    <w:basedOn w:val="a0"/>
    <w:link w:val="a9"/>
    <w:uiPriority w:val="99"/>
    <w:semiHidden/>
    <w:unhideWhenUsed/>
    <w:rsid w:val="00B41AA3"/>
    <w:rPr>
      <w:sz w:val="20"/>
      <w:szCs w:val="20"/>
    </w:rPr>
  </w:style>
  <w:style w:type="character" w:customStyle="1" w:styleId="a9">
    <w:name w:val="Текст примечания Знак"/>
    <w:basedOn w:val="a1"/>
    <w:link w:val="a8"/>
    <w:uiPriority w:val="99"/>
    <w:semiHidden/>
    <w:rsid w:val="00B41AA3"/>
    <w:rPr>
      <w:rFonts w:ascii="Garamond" w:eastAsia="Times New Roman" w:hAnsi="Garamond" w:cs="Times New Roman"/>
      <w:sz w:val="20"/>
      <w:szCs w:val="20"/>
      <w:lang w:val="en-GB"/>
    </w:rPr>
  </w:style>
  <w:style w:type="paragraph" w:styleId="aa">
    <w:name w:val="annotation subject"/>
    <w:basedOn w:val="a8"/>
    <w:next w:val="a8"/>
    <w:link w:val="ab"/>
    <w:uiPriority w:val="99"/>
    <w:semiHidden/>
    <w:unhideWhenUsed/>
    <w:rsid w:val="00B41AA3"/>
    <w:rPr>
      <w:b/>
      <w:bCs/>
    </w:rPr>
  </w:style>
  <w:style w:type="character" w:customStyle="1" w:styleId="ab">
    <w:name w:val="Тема примечания Знак"/>
    <w:basedOn w:val="a9"/>
    <w:link w:val="aa"/>
    <w:uiPriority w:val="99"/>
    <w:semiHidden/>
    <w:rsid w:val="00B41AA3"/>
    <w:rPr>
      <w:rFonts w:ascii="Garamond" w:eastAsia="Times New Roman" w:hAnsi="Garamond"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526E"/>
    <w:pPr>
      <w:spacing w:after="0" w:line="240" w:lineRule="auto"/>
    </w:pPr>
    <w:rPr>
      <w:rFonts w:ascii="Garamond" w:eastAsia="Times New Roman" w:hAnsi="Garamond" w:cs="Times New Roman"/>
      <w:sz w:val="24"/>
      <w:lang w:val="en-GB"/>
    </w:rPr>
  </w:style>
  <w:style w:type="paragraph" w:styleId="1">
    <w:name w:val="heading 1"/>
    <w:basedOn w:val="a0"/>
    <w:next w:val="a0"/>
    <w:link w:val="10"/>
    <w:qFormat/>
    <w:rsid w:val="00BD526E"/>
    <w:pPr>
      <w:outlineLvl w:val="0"/>
    </w:pPr>
    <w:rPr>
      <w:rFonts w:cs="Arial"/>
      <w:b/>
      <w:bCs/>
      <w:caps/>
      <w:szCs w:val="32"/>
    </w:rPr>
  </w:style>
  <w:style w:type="paragraph" w:styleId="2">
    <w:name w:val="heading 2"/>
    <w:basedOn w:val="a0"/>
    <w:next w:val="a0"/>
    <w:link w:val="20"/>
    <w:uiPriority w:val="9"/>
    <w:semiHidden/>
    <w:unhideWhenUsed/>
    <w:qFormat/>
    <w:rsid w:val="000D31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526E"/>
    <w:rPr>
      <w:rFonts w:ascii="Garamond" w:eastAsia="Times New Roman" w:hAnsi="Garamond" w:cs="Arial"/>
      <w:b/>
      <w:bCs/>
      <w:caps/>
      <w:sz w:val="24"/>
      <w:szCs w:val="32"/>
      <w:lang w:val="en-GB"/>
    </w:rPr>
  </w:style>
  <w:style w:type="character" w:customStyle="1" w:styleId="20">
    <w:name w:val="Заголовок 2 Знак"/>
    <w:basedOn w:val="a1"/>
    <w:link w:val="2"/>
    <w:uiPriority w:val="9"/>
    <w:semiHidden/>
    <w:rsid w:val="000D3163"/>
    <w:rPr>
      <w:rFonts w:asciiTheme="majorHAnsi" w:eastAsiaTheme="majorEastAsia" w:hAnsiTheme="majorHAnsi" w:cstheme="majorBidi"/>
      <w:b/>
      <w:bCs/>
      <w:color w:val="4F81BD" w:themeColor="accent1"/>
      <w:sz w:val="26"/>
      <w:szCs w:val="26"/>
      <w:lang w:val="en-GB"/>
    </w:rPr>
  </w:style>
  <w:style w:type="paragraph" w:styleId="a4">
    <w:name w:val="Balloon Text"/>
    <w:basedOn w:val="a0"/>
    <w:link w:val="a5"/>
    <w:uiPriority w:val="99"/>
    <w:semiHidden/>
    <w:unhideWhenUsed/>
    <w:rsid w:val="00895383"/>
    <w:rPr>
      <w:rFonts w:ascii="Tahoma" w:hAnsi="Tahoma" w:cs="Tahoma"/>
      <w:sz w:val="16"/>
      <w:szCs w:val="16"/>
    </w:rPr>
  </w:style>
  <w:style w:type="character" w:customStyle="1" w:styleId="a5">
    <w:name w:val="Текст выноски Знак"/>
    <w:basedOn w:val="a1"/>
    <w:link w:val="a4"/>
    <w:uiPriority w:val="99"/>
    <w:semiHidden/>
    <w:rsid w:val="00895383"/>
    <w:rPr>
      <w:rFonts w:ascii="Tahoma" w:eastAsia="Times New Roman" w:hAnsi="Tahoma" w:cs="Tahoma"/>
      <w:sz w:val="16"/>
      <w:szCs w:val="16"/>
      <w:lang w:val="en-GB"/>
    </w:rPr>
  </w:style>
  <w:style w:type="paragraph" w:styleId="a6">
    <w:name w:val="List Paragraph"/>
    <w:basedOn w:val="a0"/>
    <w:uiPriority w:val="34"/>
    <w:qFormat/>
    <w:rsid w:val="001C671B"/>
    <w:pPr>
      <w:ind w:left="720"/>
      <w:contextualSpacing/>
    </w:pPr>
  </w:style>
  <w:style w:type="paragraph" w:styleId="a">
    <w:name w:val="List Bullet"/>
    <w:basedOn w:val="a0"/>
    <w:uiPriority w:val="99"/>
    <w:unhideWhenUsed/>
    <w:rsid w:val="00B41AA3"/>
    <w:pPr>
      <w:numPr>
        <w:numId w:val="2"/>
      </w:numPr>
      <w:contextualSpacing/>
    </w:pPr>
  </w:style>
  <w:style w:type="character" w:styleId="a7">
    <w:name w:val="annotation reference"/>
    <w:basedOn w:val="a1"/>
    <w:uiPriority w:val="99"/>
    <w:semiHidden/>
    <w:unhideWhenUsed/>
    <w:rsid w:val="00B41AA3"/>
    <w:rPr>
      <w:sz w:val="16"/>
      <w:szCs w:val="16"/>
    </w:rPr>
  </w:style>
  <w:style w:type="paragraph" w:styleId="a8">
    <w:name w:val="annotation text"/>
    <w:basedOn w:val="a0"/>
    <w:link w:val="a9"/>
    <w:uiPriority w:val="99"/>
    <w:semiHidden/>
    <w:unhideWhenUsed/>
    <w:rsid w:val="00B41AA3"/>
    <w:rPr>
      <w:sz w:val="20"/>
      <w:szCs w:val="20"/>
    </w:rPr>
  </w:style>
  <w:style w:type="character" w:customStyle="1" w:styleId="a9">
    <w:name w:val="Текст примечания Знак"/>
    <w:basedOn w:val="a1"/>
    <w:link w:val="a8"/>
    <w:uiPriority w:val="99"/>
    <w:semiHidden/>
    <w:rsid w:val="00B41AA3"/>
    <w:rPr>
      <w:rFonts w:ascii="Garamond" w:eastAsia="Times New Roman" w:hAnsi="Garamond" w:cs="Times New Roman"/>
      <w:sz w:val="20"/>
      <w:szCs w:val="20"/>
      <w:lang w:val="en-GB"/>
    </w:rPr>
  </w:style>
  <w:style w:type="paragraph" w:styleId="aa">
    <w:name w:val="annotation subject"/>
    <w:basedOn w:val="a8"/>
    <w:next w:val="a8"/>
    <w:link w:val="ab"/>
    <w:uiPriority w:val="99"/>
    <w:semiHidden/>
    <w:unhideWhenUsed/>
    <w:rsid w:val="00B41AA3"/>
    <w:rPr>
      <w:b/>
      <w:bCs/>
    </w:rPr>
  </w:style>
  <w:style w:type="character" w:customStyle="1" w:styleId="ab">
    <w:name w:val="Тема примечания Знак"/>
    <w:basedOn w:val="a9"/>
    <w:link w:val="aa"/>
    <w:uiPriority w:val="99"/>
    <w:semiHidden/>
    <w:rsid w:val="00B41AA3"/>
    <w:rPr>
      <w:rFonts w:ascii="Garamond" w:eastAsia="Times New Roman" w:hAnsi="Garamond"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my%20data\&#1090;&#1072;&#1073;&#1083;&#1080;&#1094;&#1099;\Ch_merg\svodki\betwee_year_dyn_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03076099288921"/>
          <c:y val="3.5791269164402298E-2"/>
          <c:w val="0.86762406452349139"/>
          <c:h val="0.81900315357305775"/>
        </c:manualLayout>
      </c:layout>
      <c:barChart>
        <c:barDir val="col"/>
        <c:grouping val="clustered"/>
        <c:varyColors val="0"/>
        <c:ser>
          <c:idx val="0"/>
          <c:order val="0"/>
          <c:tx>
            <c:strRef>
              <c:f>Лист2!$A$3</c:f>
              <c:strCache>
                <c:ptCount val="1"/>
                <c:pt idx="0">
                  <c:v>#pairs</c:v>
                </c:pt>
              </c:strCache>
            </c:strRef>
          </c:tx>
          <c:spPr>
            <a:solidFill>
              <a:srgbClr val="004586"/>
            </a:solidFill>
            <a:ln w="3175">
              <a:solidFill>
                <a:srgbClr val="000000"/>
              </a:solidFill>
              <a:prstDash val="solid"/>
            </a:ln>
          </c:spPr>
          <c:invertIfNegative val="0"/>
          <c:trendline>
            <c:spPr>
              <a:ln w="38100">
                <a:solidFill>
                  <a:srgbClr val="FFFF00"/>
                </a:solidFill>
                <a:prstDash val="sysDash"/>
              </a:ln>
            </c:spPr>
            <c:trendlineType val="poly"/>
            <c:order val="3"/>
            <c:dispRSqr val="1"/>
            <c:dispEq val="0"/>
            <c:trendlineLbl>
              <c:layout>
                <c:manualLayout>
                  <c:x val="1.5586207404298866E-2"/>
                  <c:y val="-0.23047105257938474"/>
                </c:manualLayout>
              </c:layout>
              <c:numFmt formatCode="General" sourceLinked="0"/>
              <c:spPr>
                <a:ln w="28575">
                  <a:solidFill>
                    <a:srgbClr val="FFFF00"/>
                  </a:solidFill>
                </a:ln>
              </c:spPr>
            </c:trendlineLbl>
          </c:trendline>
          <c:cat>
            <c:numRef>
              <c:f>Лист2!$B$2:$T$2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Лист2!$B$3:$T$3</c:f>
              <c:numCache>
                <c:formatCode>General</c:formatCode>
                <c:ptCount val="19"/>
                <c:pt idx="0">
                  <c:v>51</c:v>
                </c:pt>
                <c:pt idx="1">
                  <c:v>54</c:v>
                </c:pt>
                <c:pt idx="3">
                  <c:v>63</c:v>
                </c:pt>
                <c:pt idx="4">
                  <c:v>55</c:v>
                </c:pt>
                <c:pt idx="5">
                  <c:v>45</c:v>
                </c:pt>
                <c:pt idx="6">
                  <c:v>78</c:v>
                </c:pt>
                <c:pt idx="7">
                  <c:v>56</c:v>
                </c:pt>
                <c:pt idx="8">
                  <c:v>45</c:v>
                </c:pt>
                <c:pt idx="9">
                  <c:v>59</c:v>
                </c:pt>
                <c:pt idx="10">
                  <c:v>52</c:v>
                </c:pt>
                <c:pt idx="11">
                  <c:v>51</c:v>
                </c:pt>
                <c:pt idx="12">
                  <c:v>34</c:v>
                </c:pt>
                <c:pt idx="13">
                  <c:v>36</c:v>
                </c:pt>
                <c:pt idx="14">
                  <c:v>32</c:v>
                </c:pt>
                <c:pt idx="15">
                  <c:v>53</c:v>
                </c:pt>
                <c:pt idx="16">
                  <c:v>41</c:v>
                </c:pt>
                <c:pt idx="17">
                  <c:v>58</c:v>
                </c:pt>
                <c:pt idx="18">
                  <c:v>58</c:v>
                </c:pt>
              </c:numCache>
            </c:numRef>
          </c:val>
        </c:ser>
        <c:ser>
          <c:idx val="1"/>
          <c:order val="1"/>
          <c:tx>
            <c:strRef>
              <c:f>Лист2!$A$4</c:f>
              <c:strCache>
                <c:ptCount val="1"/>
                <c:pt idx="0">
                  <c:v>#broods</c:v>
                </c:pt>
              </c:strCache>
            </c:strRef>
          </c:tx>
          <c:spPr>
            <a:solidFill>
              <a:srgbClr val="FF420E"/>
            </a:solidFill>
            <a:ln w="3175">
              <a:solidFill>
                <a:srgbClr val="000000"/>
              </a:solidFill>
              <a:prstDash val="solid"/>
            </a:ln>
          </c:spPr>
          <c:invertIfNegative val="0"/>
          <c:cat>
            <c:numRef>
              <c:f>Лист2!$B$2:$T$2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Лист2!$B$4:$T$4</c:f>
              <c:numCache>
                <c:formatCode>General</c:formatCode>
                <c:ptCount val="19"/>
                <c:pt idx="0">
                  <c:v>29</c:v>
                </c:pt>
                <c:pt idx="1">
                  <c:v>31</c:v>
                </c:pt>
                <c:pt idx="2">
                  <c:v>26</c:v>
                </c:pt>
                <c:pt idx="3">
                  <c:v>44</c:v>
                </c:pt>
                <c:pt idx="4">
                  <c:v>40</c:v>
                </c:pt>
                <c:pt idx="5">
                  <c:v>32</c:v>
                </c:pt>
                <c:pt idx="6">
                  <c:v>39</c:v>
                </c:pt>
                <c:pt idx="7">
                  <c:v>29</c:v>
                </c:pt>
                <c:pt idx="8">
                  <c:v>33</c:v>
                </c:pt>
                <c:pt idx="9">
                  <c:v>38</c:v>
                </c:pt>
                <c:pt idx="10">
                  <c:v>35</c:v>
                </c:pt>
                <c:pt idx="11">
                  <c:v>24</c:v>
                </c:pt>
                <c:pt idx="12">
                  <c:v>16</c:v>
                </c:pt>
              </c:numCache>
            </c:numRef>
          </c:val>
        </c:ser>
        <c:dLbls>
          <c:showLegendKey val="0"/>
          <c:showVal val="0"/>
          <c:showCatName val="0"/>
          <c:showSerName val="0"/>
          <c:showPercent val="0"/>
          <c:showBubbleSize val="0"/>
        </c:dLbls>
        <c:gapWidth val="100"/>
        <c:axId val="77805824"/>
        <c:axId val="113779072"/>
      </c:barChart>
      <c:catAx>
        <c:axId val="77805824"/>
        <c:scaling>
          <c:orientation val="minMax"/>
        </c:scaling>
        <c:delete val="0"/>
        <c:axPos val="b"/>
        <c:numFmt formatCode="General" sourceLinked="1"/>
        <c:majorTickMark val="out"/>
        <c:minorTickMark val="none"/>
        <c:tickLblPos val="low"/>
        <c:spPr>
          <a:ln w="3175">
            <a:solidFill>
              <a:srgbClr val="B3B3B3"/>
            </a:solidFill>
            <a:prstDash val="solid"/>
          </a:ln>
        </c:spPr>
        <c:txPr>
          <a:bodyPr rot="-5400000" vert="horz"/>
          <a:lstStyle/>
          <a:p>
            <a:pPr>
              <a:defRPr sz="1200" b="0" i="0" u="none" strike="noStrike" baseline="0">
                <a:solidFill>
                  <a:srgbClr val="000000"/>
                </a:solidFill>
                <a:latin typeface="Garamond"/>
                <a:ea typeface="Garamond"/>
                <a:cs typeface="Garamond"/>
              </a:defRPr>
            </a:pPr>
            <a:endParaRPr lang="ru-RU"/>
          </a:p>
        </c:txPr>
        <c:crossAx val="113779072"/>
        <c:crosses val="autoZero"/>
        <c:auto val="1"/>
        <c:lblAlgn val="ctr"/>
        <c:lblOffset val="100"/>
        <c:tickLblSkip val="1"/>
        <c:tickMarkSkip val="1"/>
        <c:noMultiLvlLbl val="0"/>
      </c:catAx>
      <c:valAx>
        <c:axId val="113779072"/>
        <c:scaling>
          <c:orientation val="minMax"/>
        </c:scaling>
        <c:delete val="0"/>
        <c:axPos val="l"/>
        <c:title>
          <c:tx>
            <c:rich>
              <a:bodyPr/>
              <a:lstStyle/>
              <a:p>
                <a:pPr>
                  <a:defRPr sz="1200" b="1" i="0" u="none" strike="noStrike" baseline="0">
                    <a:solidFill>
                      <a:srgbClr val="000000"/>
                    </a:solidFill>
                    <a:latin typeface="Garamond"/>
                    <a:ea typeface="Garamond"/>
                    <a:cs typeface="Garamond"/>
                  </a:defRPr>
                </a:pPr>
                <a:r>
                  <a:rPr lang="en-US"/>
                  <a:t>#pairs/#broods</a:t>
                </a:r>
              </a:p>
            </c:rich>
          </c:tx>
          <c:layout>
            <c:manualLayout>
              <c:xMode val="edge"/>
              <c:yMode val="edge"/>
              <c:x val="2.4539877300613498E-2"/>
              <c:y val="0.30684931506849317"/>
            </c:manualLayout>
          </c:layout>
          <c:overlay val="0"/>
          <c:spPr>
            <a:noFill/>
            <a:ln w="25400">
              <a:noFill/>
            </a:ln>
          </c:spPr>
        </c:title>
        <c:numFmt formatCode="General" sourceLinked="1"/>
        <c:majorTickMark val="out"/>
        <c:minorTickMark val="none"/>
        <c:tickLblPos val="low"/>
        <c:spPr>
          <a:ln w="3175">
            <a:solidFill>
              <a:srgbClr val="B3B3B3"/>
            </a:solidFill>
            <a:prstDash val="solid"/>
          </a:ln>
        </c:spPr>
        <c:txPr>
          <a:bodyPr rot="0" vert="horz"/>
          <a:lstStyle/>
          <a:p>
            <a:pPr>
              <a:defRPr sz="1200" b="0" i="0" u="none" strike="noStrike" baseline="0">
                <a:solidFill>
                  <a:srgbClr val="000000"/>
                </a:solidFill>
                <a:latin typeface="Garamond"/>
                <a:ea typeface="Garamond"/>
                <a:cs typeface="Garamond"/>
              </a:defRPr>
            </a:pPr>
            <a:endParaRPr lang="ru-RU"/>
          </a:p>
        </c:txPr>
        <c:crossAx val="77805824"/>
        <c:crosses val="autoZero"/>
        <c:crossBetween val="between"/>
      </c:valAx>
      <c:spPr>
        <a:noFill/>
        <a:ln w="25400">
          <a:solidFill>
            <a:schemeClr val="tx1"/>
          </a:solidFill>
        </a:ln>
      </c:spPr>
    </c:plotArea>
    <c:legend>
      <c:legendPos val="r"/>
      <c:layout>
        <c:manualLayout>
          <c:xMode val="edge"/>
          <c:yMode val="edge"/>
          <c:x val="0.57876864971121245"/>
          <c:y val="0.11245078025377547"/>
          <c:w val="0.20479243741096181"/>
          <c:h val="0.18677668559403929"/>
        </c:manualLayout>
      </c:layout>
      <c:overlay val="0"/>
      <c:spPr>
        <a:noFill/>
        <a:ln w="25400">
          <a:noFill/>
        </a:ln>
      </c:spPr>
      <c:txPr>
        <a:bodyPr/>
        <a:lstStyle/>
        <a:p>
          <a:pPr>
            <a:defRPr sz="1200" b="0" i="0" u="none" strike="noStrike" baseline="0">
              <a:solidFill>
                <a:srgbClr val="000000"/>
              </a:solidFill>
              <a:latin typeface="Garamond"/>
              <a:ea typeface="Garamond"/>
              <a:cs typeface="Garamond"/>
            </a:defRPr>
          </a:pPr>
          <a:endParaRPr lang="ru-RU"/>
        </a:p>
      </c:txPr>
    </c:legend>
    <c:plotVisOnly val="0"/>
    <c:dispBlanksAs val="gap"/>
    <c:showDLblsOverMax val="0"/>
  </c:chart>
  <c:spPr>
    <a:solidFill>
      <a:srgbClr val="FFFFFF"/>
    </a:solid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0DCD9-B8F5-4826-AD3B-8C35045D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5634</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2</cp:revision>
  <cp:lastPrinted>2016-10-25T11:59:00Z</cp:lastPrinted>
  <dcterms:created xsi:type="dcterms:W3CDTF">2018-10-04T06:56:00Z</dcterms:created>
  <dcterms:modified xsi:type="dcterms:W3CDTF">2018-10-04T06:56:00Z</dcterms:modified>
</cp:coreProperties>
</file>